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  <w14:ligatures w14:val="none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  <w14:ligatures w14:val="none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14:ligatures w14:val="none"/>
        </w:rPr>
        <w:t>2023年职业教育优质教材建设指南</w:t>
      </w: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  <w:t>一、建设项目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围绕高素质技术技能人才培养，服务专业改革与发展，重点面向专业核心课程，建设由行业（企业）牵头或行业（企业）、学校共同开发，体现协同育人、彰显类型特色的职业教育产教融合优质教材。支持各地在首批“十四五”职业教育国家规划教材范围内，认定首批1000种左右全国性职业教育优质教材，</w:t>
      </w: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  <w:t>二、推荐条件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1.推荐教材应为首批“十四五”职业教育国家规划教材名单范围内教材，名单见《教育部办公厅关于公布首批“十四五”职业教育国家规划教材书目的通知》（教职成厅函〔2023〕19号）附件1和《国家教材委员会关于首届全国教材建设奖奖励的决定》（国教材〔2021〕6号）附件2中职、高职类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2.推荐教材应为产教融合特征明显的职业教育专业课程教材，包含专业基础课、专业核心课、专业拓展课以及实践性教学环节有关课程等（课程设置分类参考各专业教学标准）。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3.教材主编应在本学科专业有深入研究、较高的造诣，或是全国知名专家、学术领军人物、行业企业专家，具有高级专业技术职务；编写团队应包含相关学科专业领域专家、教科研人员、一线教师、行业企业技术人员和能工巧匠等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4.教材内容充分反映行业前沿技术，积极体现产业发展的新技术、新工艺、新规范、新标准，呈现形式要新颖、生动活泼、丰富多彩；鼓励和支持以工作分析为依据，以项目、任务、活动、案例等为载体的教材编写方式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5.同一主编申报优质教材原则上不超过2种，同一编写单位推荐的优质教材原则上不超过8种。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6.各省认定优质教材要兼顾中职、高职专科、职教本科等不同层次教育，支持职业教育新形态、数字化教材的建设与推广。各省认定的优质教材中，专业基础课教材占比不超过30%。</w:t>
      </w: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  <w:t>三、推荐方式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本次建设认定工作全程在网络平台上进行，各省级教育行政部门设管理员账号，并为各校开放平台账号注册。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教育部直属高校推荐教材经公示后，报所在省份教育行政部门统一审核认定。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涉及需填写意见或单位盖章的材料，可下载填写或盖章后上传平台。</w:t>
      </w: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  <w:t>四、建设指标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以首批“十四五”职业教育国家规划教材为基数，根据各省新申报入选的教材比例，分省测算并确定建设和认定指标（分省发送）。教育部直属高校推荐指标纳入所在省份，不另设指标。</w:t>
      </w:r>
    </w:p>
    <w:p>
      <w:pPr>
        <w:spacing w:line="578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14:ligatures w14:val="none"/>
        </w:rPr>
        <w:t>五、建设流程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1.校级推荐（2023年8月10日—9月12日）：各院校进一步深化优质教材建设，根据建设指南，结合首批“十四五”职业教育国家规划教材入选情况组织校内推荐，经公示后在网络推荐平台中按时填报推荐教材相关信息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2.省级认定（2023年9月13日—10月23日）：各省级教育行政部门组织专家，根据各校推荐情况开展评议，经公示后确定本省拟认定的教材，汇总盖章通过平台报送教育部职成司。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3.组织复核（2023年10月24日—11月底）：教育部职成司根据各省认定情况组织专家复核，形成优质教材最终认定名单并反馈各省级教育行政部门。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4.宣传推介（2023年11月底—2025年）：教育部职成司、各省级教育行政部门对认定教材进行宣传、推广，通过支持各地持续建设、使用，大幅提升优质教材的影响力和选用比例，有效发挥优质专业课程教材的示范辐射作用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  <w:t>5.持续建设（2024年—2025年）：结合第二批“十四五”职业教育国家规划教材遴选、职业院校教材选用使用监测工作，支持各地开展持续建设，有关工作安排另行通知。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14:ligatures w14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0N2EzYjg3OWMxMTg5OTQ1ODliOGY1ZjZjMjI0ODYifQ=="/>
  </w:docVars>
  <w:rsids>
    <w:rsidRoot w:val="00FC2628"/>
    <w:rsid w:val="00460B08"/>
    <w:rsid w:val="00BE4829"/>
    <w:rsid w:val="00C45CA9"/>
    <w:rsid w:val="00D03B86"/>
    <w:rsid w:val="00FA2F90"/>
    <w:rsid w:val="00FC2628"/>
    <w:rsid w:val="3E12355E"/>
    <w:rsid w:val="46D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1311</Words>
  <Characters>1367</Characters>
  <Lines>10</Lines>
  <Paragraphs>2</Paragraphs>
  <TotalTime>67</TotalTime>
  <ScaleCrop>false</ScaleCrop>
  <LinksUpToDate>false</LinksUpToDate>
  <CharactersWithSpaces>1367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2023-07-30T09:28:00Z</dcterms:created>
  <dc:creator>HUAWEI</dc:creator>
  <cp:lastModifiedBy>dell</cp:lastModifiedBy>
  <dcterms:modified xsi:type="dcterms:W3CDTF">2023-09-06T01:58:22Z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B370738E8E9C43F8AC1CE779440E3335_13</vt:lpwstr>
  </property>
</Properties>
</file>