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B7F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关于启动校级本科智慧课程（第</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三</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批）认定工作的通知</w:t>
      </w:r>
    </w:p>
    <w:p w14:paraId="75E345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right="0"/>
        <w:jc w:val="left"/>
        <w:textAlignment w:val="auto"/>
        <w:rPr>
          <w:rFonts w:ascii="微软雅黑" w:hAnsi="微软雅黑" w:eastAsia="微软雅黑" w:cs="微软雅黑"/>
          <w:i w:val="0"/>
          <w:iCs w:val="0"/>
          <w:caps w:val="0"/>
          <w:color w:val="333333"/>
          <w:spacing w:val="0"/>
          <w:sz w:val="32"/>
          <w:szCs w:val="32"/>
        </w:rPr>
      </w:pPr>
      <w:r>
        <w:rPr>
          <w:rFonts w:ascii="仿宋_GB2312" w:hAnsi="仿宋_GB2312" w:eastAsia="仿宋_GB2312" w:cs="仿宋_GB2312"/>
          <w:i w:val="0"/>
          <w:iCs w:val="0"/>
          <w:caps w:val="0"/>
          <w:color w:val="333333"/>
          <w:spacing w:val="0"/>
          <w:kern w:val="0"/>
          <w:sz w:val="32"/>
          <w:szCs w:val="32"/>
          <w:shd w:val="clear" w:fill="FFFFFF"/>
          <w:lang w:val="en-US" w:eastAsia="zh-CN" w:bidi="ar"/>
        </w:rPr>
        <w:t>各单位：</w:t>
      </w:r>
    </w:p>
    <w:p w14:paraId="39B353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为深入贯彻《教育强国建设规划纲要（</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2024－2035</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年）》精神，积极落实江苏省《人工智能赋能教育高质量发展行动方案（</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2025—2027</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年）》《南京晓庄学院数字赋能教育教学三年行动计划》，加快人工智能赋能本科教育教学，进一步提高我校本科课程建设质量，学校决定启动校级本科智慧课程（第三批）的认定工作。现将有关事项通知如下：</w:t>
      </w:r>
    </w:p>
    <w:p w14:paraId="19D2FD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Fonts w:hint="eastAsia" w:ascii="黑体" w:hAnsi="黑体" w:eastAsia="黑体" w:cs="黑体"/>
          <w:i w:val="0"/>
          <w:iCs w:val="0"/>
          <w:caps w:val="0"/>
          <w:color w:val="333333"/>
          <w:spacing w:val="0"/>
          <w:sz w:val="32"/>
          <w:szCs w:val="32"/>
        </w:rPr>
      </w:pPr>
      <w:r>
        <w:rPr>
          <w:rStyle w:val="5"/>
          <w:rFonts w:hint="eastAsia" w:ascii="黑体" w:hAnsi="黑体" w:eastAsia="黑体" w:cs="黑体"/>
          <w:b/>
          <w:bCs/>
          <w:i w:val="0"/>
          <w:iCs w:val="0"/>
          <w:caps w:val="0"/>
          <w:color w:val="333333"/>
          <w:spacing w:val="0"/>
          <w:kern w:val="0"/>
          <w:sz w:val="32"/>
          <w:szCs w:val="32"/>
          <w:shd w:val="clear" w:fill="FFFFFF"/>
          <w:lang w:val="en-US" w:eastAsia="zh-CN" w:bidi="ar"/>
        </w:rPr>
        <w:t>一、认定原则</w:t>
      </w:r>
    </w:p>
    <w:p w14:paraId="4FC814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3"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1.先建设后认定。</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教师依据认定标准自主开展智慧课程建设，建设周期一般为半年，学校定期择优认定。</w:t>
      </w:r>
    </w:p>
    <w:p w14:paraId="3EA62F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3"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2.智慧教学导向。</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突出人工智能技术与课堂教学的深度融合，构建智慧教学应用场景，全面赋能教师教学和学生学习各环节。</w:t>
      </w:r>
    </w:p>
    <w:p w14:paraId="1206F5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3" w:firstLineChars="200"/>
        <w:jc w:val="both"/>
        <w:textAlignment w:val="auto"/>
        <w:rPr>
          <w:rStyle w:val="5"/>
          <w:rFonts w:hint="eastAsia" w:ascii="黑体" w:hAnsi="黑体" w:eastAsia="黑体" w:cs="黑体"/>
          <w:b/>
          <w:bCs/>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3.持续迭代升级。</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建立动态优化机制，及时更新课程资源，实现课程内容、教学模式和信息技术应用的协同提升。</w:t>
      </w:r>
    </w:p>
    <w:p w14:paraId="054C28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Style w:val="5"/>
          <w:rFonts w:hint="eastAsia" w:ascii="黑体" w:hAnsi="黑体" w:eastAsia="黑体" w:cs="黑体"/>
          <w:b/>
          <w:bCs/>
          <w:i w:val="0"/>
          <w:iCs w:val="0"/>
          <w:caps w:val="0"/>
          <w:color w:val="333333"/>
          <w:spacing w:val="0"/>
          <w:kern w:val="0"/>
          <w:sz w:val="32"/>
          <w:szCs w:val="32"/>
          <w:shd w:val="clear" w:fill="FFFFFF"/>
          <w:lang w:val="en-US" w:eastAsia="zh-CN" w:bidi="ar"/>
        </w:rPr>
      </w:pPr>
      <w:r>
        <w:rPr>
          <w:rStyle w:val="5"/>
          <w:rFonts w:hint="eastAsia" w:ascii="黑体" w:hAnsi="黑体" w:eastAsia="黑体" w:cs="黑体"/>
          <w:b/>
          <w:bCs/>
          <w:i w:val="0"/>
          <w:iCs w:val="0"/>
          <w:caps w:val="0"/>
          <w:color w:val="333333"/>
          <w:spacing w:val="0"/>
          <w:kern w:val="0"/>
          <w:sz w:val="32"/>
          <w:szCs w:val="32"/>
          <w:shd w:val="clear" w:fill="FFFFFF"/>
          <w:lang w:val="en-US" w:eastAsia="zh-CN" w:bidi="ar"/>
        </w:rPr>
        <w:t>二、认定标准</w:t>
      </w:r>
    </w:p>
    <w:p w14:paraId="02003C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1.智慧化内容组织：</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利用知识图谱、能力图谱等工具组织课程内容，实现知识结构可视化、教学体系动态可调整、学习路径自主规划。</w:t>
      </w:r>
    </w:p>
    <w:p w14:paraId="14E41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2.智慧化教学工具：</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应充分利用AI工具协助教师教学全流程，并建构有效应对潜在风险的伦理规范，引导学生合理使用人工智能，如AI教案、AI课件、AI出题、AI批阅、AI查重、AIGC检测、AI学术搜索等功能的充分合理应用。能够将线上智慧课程、智慧教室、虚拟仿真平台、实验实训室等场景有效融通，实现全流程课程画像与精准反馈。</w:t>
      </w:r>
    </w:p>
    <w:p w14:paraId="4281CD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3.智慧化教学过程：</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通过任务引擎落实目标导向，灵活组织教学内容和活动，支撑深度混合教学、项目式教学等多种教学模式。</w:t>
      </w:r>
    </w:p>
    <w:p w14:paraId="3197E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4.智慧化学习支持：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基于课程专属知识库和生成式大模型，提供AI助教、AI实践智能体、AI陪练等，为学生提供即时答疑、学习指导、资源推荐、实训模拟、自我测试与反馈等支持伴学服务。</w:t>
      </w:r>
    </w:p>
    <w:p w14:paraId="679D4C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Style w:val="5"/>
          <w:rFonts w:hint="eastAsia" w:ascii="黑体" w:hAnsi="黑体" w:eastAsia="黑体" w:cs="黑体"/>
          <w:b/>
          <w:bCs/>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5.智慧化分析评价：</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利用AI和大数据技术深度分析学情，提供AI学情分析、学情预警和智能化学习路径与薄弱点资源推荐，以及针对性教学建议，为个性化教学提供支撑，助力课程目标达成度评价和教学研究。</w:t>
      </w:r>
    </w:p>
    <w:p w14:paraId="15938D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Style w:val="5"/>
          <w:rFonts w:hint="eastAsia" w:ascii="黑体" w:hAnsi="黑体" w:eastAsia="黑体" w:cs="黑体"/>
          <w:b/>
          <w:bCs/>
          <w:i w:val="0"/>
          <w:iCs w:val="0"/>
          <w:caps w:val="0"/>
          <w:color w:val="333333"/>
          <w:spacing w:val="0"/>
          <w:kern w:val="0"/>
          <w:sz w:val="32"/>
          <w:szCs w:val="32"/>
          <w:shd w:val="clear" w:fill="FFFFFF"/>
          <w:lang w:val="en-US" w:eastAsia="zh-CN" w:bidi="ar"/>
        </w:rPr>
      </w:pPr>
      <w:r>
        <w:rPr>
          <w:rStyle w:val="5"/>
          <w:rFonts w:hint="eastAsia" w:ascii="黑体" w:hAnsi="黑体" w:eastAsia="黑体" w:cs="黑体"/>
          <w:b/>
          <w:bCs/>
          <w:i w:val="0"/>
          <w:iCs w:val="0"/>
          <w:caps w:val="0"/>
          <w:color w:val="333333"/>
          <w:spacing w:val="0"/>
          <w:kern w:val="0"/>
          <w:sz w:val="32"/>
          <w:szCs w:val="32"/>
          <w:shd w:val="clear" w:fill="FFFFFF"/>
          <w:lang w:val="en-US" w:eastAsia="zh-CN" w:bidi="ar"/>
        </w:rPr>
        <w:t>三、认定范围</w:t>
      </w:r>
    </w:p>
    <w:p w14:paraId="21B0D5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right="0" w:firstLine="640"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1.认定课程须为纳入学校</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2025</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版本科人才培养方案并设置学分的课程，近两年至少完成</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1</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个学期的智慧教学应用。</w:t>
      </w:r>
    </w:p>
    <w:p w14:paraId="31B716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课程负责人</w:t>
      </w:r>
      <w:r>
        <w:rPr>
          <w:rFonts w:hint="eastAsia" w:ascii="Times New Roman" w:hAnsi="Times New Roman" w:eastAsia="仿宋_GB2312" w:cs="Times New Roman"/>
          <w:b/>
          <w:bCs/>
          <w:i w:val="0"/>
          <w:iCs w:val="0"/>
          <w:caps w:val="0"/>
          <w:color w:val="333333"/>
          <w:spacing w:val="0"/>
          <w:kern w:val="0"/>
          <w:sz w:val="32"/>
          <w:szCs w:val="32"/>
          <w:shd w:val="clear" w:fill="FFFFFF"/>
          <w:lang w:val="en-US" w:eastAsia="zh-CN" w:bidi="ar"/>
        </w:rPr>
        <w:t>1</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人，团队成员（包括课程负责人在内）不超过</w:t>
      </w:r>
      <w:r>
        <w:rPr>
          <w:rFonts w:hint="eastAsia" w:ascii="Times New Roman" w:hAnsi="Times New Roman" w:eastAsia="仿宋_GB2312" w:cs="Times New Roman"/>
          <w:b/>
          <w:bCs/>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人。</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课程负责人为本校在职教师，教学经验丰富。课程团队结构合理，课程负责人及团队成员近</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年无教学事故和师风师德问题。</w:t>
      </w:r>
    </w:p>
    <w:p w14:paraId="111C02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3.近三年校级立项课程和课堂教学模式改革项目检查结果为不合格、撤项、延期的，相关负责人的建设课程原则上不予认定。</w:t>
      </w:r>
    </w:p>
    <w:p w14:paraId="32F2C5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4.鼓励已有在线资源基础的课程持续建设，鼓励量大面广的公共基础课程、通识教育课程开展建设。</w:t>
      </w:r>
    </w:p>
    <w:p w14:paraId="34F132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5.校级智慧课程原则上应使用“南京晓庄学院课程中心”智慧教学平台。课程资源的知识产权清晰明确，不侵犯第三方权益。</w:t>
      </w:r>
    </w:p>
    <w:p w14:paraId="2AE387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right="0" w:firstLine="643" w:firstLineChars="200"/>
        <w:jc w:val="left"/>
        <w:textAlignment w:val="auto"/>
        <w:rPr>
          <w:rStyle w:val="5"/>
          <w:rFonts w:hint="eastAsia" w:ascii="黑体" w:hAnsi="黑体" w:eastAsia="黑体" w:cs="黑体"/>
          <w:b/>
          <w:bCs/>
          <w:i w:val="0"/>
          <w:iCs w:val="0"/>
          <w:caps w:val="0"/>
          <w:color w:val="333333"/>
          <w:spacing w:val="0"/>
          <w:kern w:val="0"/>
          <w:sz w:val="32"/>
          <w:szCs w:val="32"/>
          <w:shd w:val="clear" w:fill="FFFFFF"/>
          <w:lang w:val="en-US" w:eastAsia="zh-CN" w:bidi="ar"/>
        </w:rPr>
      </w:pPr>
      <w:r>
        <w:rPr>
          <w:rStyle w:val="5"/>
          <w:rFonts w:hint="eastAsia" w:ascii="黑体" w:hAnsi="黑体" w:eastAsia="黑体" w:cs="黑体"/>
          <w:b/>
          <w:bCs/>
          <w:i w:val="0"/>
          <w:iCs w:val="0"/>
          <w:caps w:val="0"/>
          <w:color w:val="333333"/>
          <w:spacing w:val="0"/>
          <w:kern w:val="0"/>
          <w:sz w:val="32"/>
          <w:szCs w:val="32"/>
          <w:shd w:val="clear" w:fill="FFFFFF"/>
          <w:lang w:val="en-US" w:eastAsia="zh-CN" w:bidi="ar"/>
        </w:rPr>
        <w:t>四、支持保障</w:t>
      </w:r>
    </w:p>
    <w:p w14:paraId="288F73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学校给予认定的智慧课程优先推荐参评省级、国家级智慧课程建设项目。</w:t>
      </w:r>
    </w:p>
    <w:p w14:paraId="4502E2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right="0" w:rightChars="0" w:firstLine="643" w:firstLineChars="200"/>
        <w:jc w:val="left"/>
        <w:textAlignment w:val="auto"/>
        <w:rPr>
          <w:rStyle w:val="5"/>
          <w:rFonts w:hint="eastAsia" w:ascii="黑体" w:hAnsi="黑体" w:eastAsia="黑体" w:cs="黑体"/>
          <w:b/>
          <w:bCs/>
          <w:i w:val="0"/>
          <w:iCs w:val="0"/>
          <w:caps w:val="0"/>
          <w:color w:val="333333"/>
          <w:spacing w:val="0"/>
          <w:kern w:val="0"/>
          <w:sz w:val="32"/>
          <w:szCs w:val="32"/>
          <w:shd w:val="clear" w:fill="FFFFFF"/>
          <w:lang w:val="en-US" w:eastAsia="zh-CN" w:bidi="ar"/>
        </w:rPr>
      </w:pPr>
      <w:r>
        <w:rPr>
          <w:rStyle w:val="5"/>
          <w:rFonts w:hint="eastAsia" w:ascii="黑体" w:hAnsi="黑体" w:eastAsia="黑体" w:cs="黑体"/>
          <w:b/>
          <w:bCs/>
          <w:i w:val="0"/>
          <w:iCs w:val="0"/>
          <w:caps w:val="0"/>
          <w:color w:val="333333"/>
          <w:spacing w:val="0"/>
          <w:kern w:val="0"/>
          <w:sz w:val="32"/>
          <w:szCs w:val="32"/>
          <w:shd w:val="clear" w:fill="FFFFFF"/>
          <w:lang w:val="en-US" w:eastAsia="zh-CN" w:bidi="ar"/>
        </w:rPr>
        <w:t>五、工作安排</w:t>
      </w:r>
    </w:p>
    <w:p w14:paraId="35151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default" w:ascii="仿宋_GB2312" w:hAnsi="仿宋_GB2312" w:eastAsia="仿宋_GB2312" w:cs="仿宋_GB2312"/>
          <w:b/>
          <w:bCs/>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1.请各单位做好课程建设规划，积极动员教师参照《智慧课程建设标准》（附件</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1</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）开展智慧课程建设。</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各学院推荐有意向认定为第三批智慧课程的课程，小于等于三个专业的学院最多报送不超过</w:t>
      </w:r>
      <w:r>
        <w:rPr>
          <w:rFonts w:hint="eastAsia" w:ascii="Times New Roman" w:hAnsi="Times New Roman" w:eastAsia="仿宋_GB2312" w:cs="Times New Roman"/>
          <w:b/>
          <w:bCs/>
          <w:i w:val="0"/>
          <w:iCs w:val="0"/>
          <w:caps w:val="0"/>
          <w:color w:val="333333"/>
          <w:spacing w:val="0"/>
          <w:kern w:val="0"/>
          <w:sz w:val="32"/>
          <w:szCs w:val="32"/>
          <w:shd w:val="clear" w:fill="FFFFFF"/>
          <w:lang w:val="en-US" w:eastAsia="zh-CN" w:bidi="ar"/>
        </w:rPr>
        <w:t>4</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门，每多一个专业可增加一门课程</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第二批未参加认定或认定不成功的智慧课程可以参加第三批智慧课程认定（占用学院名额）。</w:t>
      </w:r>
    </w:p>
    <w:p w14:paraId="43B1B4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2.请各单位于</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2026</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3</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10</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日下午</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4</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点前将《校级本科智慧课程（第三批）认定意向汇总表》（附件</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提交教学运行科，电子稿发送至邮箱719037970@qq.com。逾期不再受理。</w:t>
      </w:r>
    </w:p>
    <w:p w14:paraId="2BA26F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3.教务处联合相关职能部门组织专题培训和交流活动，帮助教师厘清建设思路，提升智慧教学能力。</w:t>
      </w:r>
    </w:p>
    <w:p w14:paraId="7F9B37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2026</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6</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月底，学校组织专家评审认定，公示无异议后发文公布。</w:t>
      </w:r>
    </w:p>
    <w:p w14:paraId="1589A1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348"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56CDE1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348"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594F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348" w:lineRule="atLeast"/>
        <w:ind w:left="0" w:right="0" w:firstLine="640" w:firstLineChars="200"/>
        <w:jc w:val="center"/>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xml:space="preserve">                                 教务处</w:t>
      </w:r>
    </w:p>
    <w:p w14:paraId="209650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348" w:lineRule="atLeast"/>
        <w:ind w:left="0" w:right="0" w:firstLine="640" w:firstLineChars="200"/>
        <w:jc w:val="righ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2026</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1</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月8</w:t>
      </w:r>
      <w:bookmarkStart w:id="0" w:name="_GoBack"/>
      <w:bookmarkEnd w:id="0"/>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日</w:t>
      </w:r>
    </w:p>
    <w:p w14:paraId="6F93DB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348" w:lineRule="atLeast"/>
        <w:ind w:left="0" w:right="0" w:firstLine="640" w:firstLineChars="200"/>
        <w:jc w:val="center"/>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55B3E7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348" w:lineRule="atLeast"/>
        <w:ind w:left="0" w:right="0" w:firstLine="640" w:firstLineChars="200"/>
        <w:jc w:val="righ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拟稿人：章思涵</w:t>
      </w:r>
    </w:p>
    <w:p w14:paraId="1D3CB8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348" w:lineRule="atLeast"/>
        <w:ind w:left="0" w:right="0" w:firstLine="640" w:firstLineChars="200"/>
        <w:jc w:val="righ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编辑：王岑</w:t>
      </w:r>
    </w:p>
    <w:p w14:paraId="2C9E2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348" w:lineRule="atLeast"/>
        <w:ind w:left="0" w:right="0" w:firstLine="640" w:firstLineChars="200"/>
        <w:jc w:val="righ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审核：余守萍</w:t>
      </w:r>
    </w:p>
    <w:p w14:paraId="7E5A46F1">
      <w:pPr>
        <w:jc w:val="right"/>
        <w:rPr>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终审：袁俊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B3153"/>
    <w:rsid w:val="0A2E27E5"/>
    <w:rsid w:val="0DFC0491"/>
    <w:rsid w:val="252E6C9C"/>
    <w:rsid w:val="2859377E"/>
    <w:rsid w:val="2B4103E6"/>
    <w:rsid w:val="2B4F0E68"/>
    <w:rsid w:val="2CB82A3D"/>
    <w:rsid w:val="2F653B06"/>
    <w:rsid w:val="2FDF7624"/>
    <w:rsid w:val="33BA6F45"/>
    <w:rsid w:val="356E34B4"/>
    <w:rsid w:val="37A75B65"/>
    <w:rsid w:val="3AEB3153"/>
    <w:rsid w:val="3D5440BC"/>
    <w:rsid w:val="40771CFC"/>
    <w:rsid w:val="45FB3C6E"/>
    <w:rsid w:val="46413695"/>
    <w:rsid w:val="481169FC"/>
    <w:rsid w:val="4B0F77EC"/>
    <w:rsid w:val="4E432B26"/>
    <w:rsid w:val="4F0128CE"/>
    <w:rsid w:val="54901A26"/>
    <w:rsid w:val="577B69BD"/>
    <w:rsid w:val="597A4A53"/>
    <w:rsid w:val="6FA764F4"/>
    <w:rsid w:val="79E42F68"/>
    <w:rsid w:val="7D3354C1"/>
    <w:rsid w:val="7E86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1405</Words>
  <Characters>1478</Characters>
  <Lines>0</Lines>
  <Paragraphs>0</Paragraphs>
  <TotalTime>16</TotalTime>
  <ScaleCrop>false</ScaleCrop>
  <LinksUpToDate>false</LinksUpToDate>
  <CharactersWithSpaces>1511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2026-01-07T02:38:00Z</dcterms:created>
  <dc:creator>章丢丢</dc:creator>
  <cp:lastModifiedBy>章丢丢</cp:lastModifiedBy>
  <dcterms:modified xsi:type="dcterms:W3CDTF">2026-01-08T01:34:49Z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1D5CE4FCE0D5420C8D713E6F965E5BE1_11</vt:lpwstr>
  </property>
  <property fmtid="{D5CDD505-2E9C-101B-9397-08002B2CF9AE}" pid="4" name="KSOTemplateDocerSaveRecord">
    <vt:lpwstr>eyJoZGlkIjoiNjAzMDFiNWNhMGNmYTUzZWE2NDFkNDRkNzc0NWRmN2EiLCJ1c2VySWQiOiI2MTI4MjQ5MTcifQ==</vt:lpwstr>
  </property>
</Properties>
</file>