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sz w:val="36"/>
          <w:szCs w:val="36"/>
          <w:lang w:eastAsia="zh-CN"/>
        </w:rPr>
        <w:t>南京晓庄学院</w:t>
      </w:r>
      <w:r>
        <w:rPr>
          <w:rFonts w:ascii="Times New Roman" w:hAnsi="Times New Roman" w:eastAsia="方正小标宋简体"/>
          <w:b/>
          <w:sz w:val="36"/>
          <w:szCs w:val="36"/>
        </w:rPr>
        <w:t>教材选用审批表</w:t>
      </w:r>
    </w:p>
    <w:p>
      <w:pPr>
        <w:spacing w:line="240" w:lineRule="exact"/>
        <w:jc w:val="center"/>
        <w:rPr>
          <w:rFonts w:ascii="Times New Roman" w:hAnsi="Times New Roman"/>
          <w:b/>
          <w:sz w:val="30"/>
          <w:szCs w:val="30"/>
        </w:rPr>
      </w:pPr>
    </w:p>
    <w:p>
      <w:pPr>
        <w:spacing w:line="4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0"/>
          <w:sz w:val="24"/>
        </w:rPr>
        <w:t>二级单位名称</w:t>
      </w:r>
      <w:r>
        <w:rPr>
          <w:rFonts w:ascii="Times New Roman" w:hAnsi="Times New Roman"/>
          <w:sz w:val="24"/>
        </w:rPr>
        <w:t>（盖章）</w:t>
      </w:r>
      <w:r>
        <w:rPr>
          <w:rFonts w:ascii="Times New Roman" w:hAnsi="Times New Roman"/>
          <w:spacing w:val="20"/>
          <w:sz w:val="24"/>
        </w:rPr>
        <w:t xml:space="preserve">：                </w:t>
      </w:r>
      <w:r>
        <w:rPr>
          <w:rFonts w:hint="eastAsia" w:ascii="Times New Roman" w:hAnsi="Times New Roman"/>
          <w:spacing w:val="20"/>
          <w:sz w:val="24"/>
        </w:rPr>
        <w:t xml:space="preserve">     </w:t>
      </w:r>
      <w:r>
        <w:rPr>
          <w:rFonts w:ascii="Times New Roman" w:hAnsi="Times New Roman"/>
          <w:spacing w:val="20"/>
          <w:sz w:val="24"/>
        </w:rPr>
        <w:t xml:space="preserve">     年  月  日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040"/>
        <w:gridCol w:w="1290"/>
        <w:gridCol w:w="208"/>
        <w:gridCol w:w="9"/>
        <w:gridCol w:w="886"/>
        <w:gridCol w:w="832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课程名称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课程号</w:t>
            </w:r>
          </w:p>
        </w:tc>
        <w:tc>
          <w:tcPr>
            <w:tcW w:w="17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课程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类别</w:t>
            </w:r>
          </w:p>
        </w:tc>
        <w:tc>
          <w:tcPr>
            <w:tcW w:w="381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使用人数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课程负责人</w:t>
            </w:r>
          </w:p>
        </w:tc>
        <w:tc>
          <w:tcPr>
            <w:tcW w:w="17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使用学科专业</w:t>
            </w:r>
          </w:p>
        </w:tc>
        <w:tc>
          <w:tcPr>
            <w:tcW w:w="381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教材名称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编者</w:t>
            </w:r>
          </w:p>
        </w:tc>
        <w:tc>
          <w:tcPr>
            <w:tcW w:w="18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出版社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出版时间</w:t>
            </w:r>
          </w:p>
        </w:tc>
        <w:tc>
          <w:tcPr>
            <w:tcW w:w="6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版次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1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是否是境外教材（境内教材二级单位审查，学校备案；境外教材二级单位初审后报学校审批）</w:t>
            </w:r>
          </w:p>
        </w:tc>
        <w:tc>
          <w:tcPr>
            <w:tcW w:w="18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 xml:space="preserve">□否      □是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选用理由：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课程负责人签名：                        日期：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二级单位审查意见</w:t>
            </w:r>
            <w:r>
              <w:rPr>
                <w:rFonts w:ascii="Times New Roman" w:hAnsi="Times New Roman"/>
                <w:sz w:val="24"/>
              </w:rPr>
              <w:t>（重点审查：1. 所选教材是否符合国家教材管理规定，适合学校人才培养要求；2. 对相同专业的相同课程，必须选用统一的教材；3. 对不同专业的相同课程，应根据课程教学大纲选用教材，原则上也应选用统一的教材；4. 原则上应选用出版时间在20年以内的教材；5. 二级单位党组织重点对选用境外哲学社会科学教材进行政治把关）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二级单位负责人签名：                   日期：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学校教材工作委员会意见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负责人签名：                           日期：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>
      <w:r>
        <w:rPr>
          <w:rFonts w:ascii="Times New Roman" w:hAnsi="Times New Roman" w:eastAsia="方正小标宋简体"/>
          <w:sz w:val="36"/>
          <w:szCs w:val="36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jcwYjMxZTYwMGNlNGExNDA5YThiNjI3MGZlODAifQ=="/>
  </w:docVars>
  <w:rsids>
    <w:rsidRoot w:val="00000000"/>
    <w:rsid w:val="6C1B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2023-05-26T02:18:58Z</dcterms:created>
  <dc:creator>dell</dc:creator>
  <cp:lastModifiedBy>dell</cp:lastModifiedBy>
  <dcterms:modified xsi:type="dcterms:W3CDTF">2023-05-26T02:19:03Z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1BB7B3B49F19473E87BA5F0384F78C6D_12</vt:lpwstr>
  </property>
</Properties>
</file>