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eastAsia="黑体"/>
          <w:sz w:val="32"/>
          <w:szCs w:val="32"/>
        </w:rPr>
      </w:pPr>
      <w:r>
        <w:rPr>
          <w:rFonts w:eastAsia="黑体"/>
          <w:sz w:val="32"/>
          <w:szCs w:val="32"/>
        </w:rPr>
        <w:t xml:space="preserve">附件2   </w:t>
      </w:r>
    </w:p>
    <w:p>
      <w:pPr>
        <w:tabs>
          <w:tab w:val="left" w:pos="1440"/>
          <w:tab w:val="left" w:pos="4860"/>
        </w:tabs>
        <w:snapToGrid w:val="0"/>
        <w:spacing w:line="360" w:lineRule="exact"/>
        <w:jc w:val="center"/>
        <w:rPr>
          <w:rFonts w:eastAsia="黑体"/>
          <w:sz w:val="32"/>
          <w:szCs w:val="32"/>
        </w:rPr>
      </w:pPr>
      <w:r>
        <w:rPr>
          <w:rFonts w:eastAsia="黑体"/>
          <w:sz w:val="32"/>
          <w:szCs w:val="32"/>
        </w:rPr>
        <w:t>江苏省高等学校服务外包类</w:t>
      </w:r>
    </w:p>
    <w:p>
      <w:pPr>
        <w:tabs>
          <w:tab w:val="left" w:pos="1440"/>
          <w:tab w:val="left" w:pos="4860"/>
        </w:tabs>
        <w:snapToGrid w:val="0"/>
        <w:spacing w:line="360" w:lineRule="exact"/>
        <w:jc w:val="center"/>
        <w:rPr>
          <w:rFonts w:eastAsia="黑体"/>
          <w:sz w:val="32"/>
          <w:szCs w:val="32"/>
        </w:rPr>
      </w:pPr>
      <w:r>
        <w:rPr>
          <w:rFonts w:eastAsia="黑体"/>
          <w:sz w:val="32"/>
          <w:szCs w:val="32"/>
        </w:rPr>
        <w:t>专业嵌入式人才培养项目评审指标</w:t>
      </w:r>
    </w:p>
    <w:tbl>
      <w:tblPr>
        <w:tblStyle w:val="2"/>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872"/>
        <w:gridCol w:w="7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eastAsia="黑体"/>
                <w:sz w:val="30"/>
                <w:szCs w:val="30"/>
              </w:rPr>
            </w:pPr>
            <w:r>
              <w:rPr>
                <w:rFonts w:eastAsia="黑体"/>
                <w:sz w:val="30"/>
                <w:szCs w:val="30"/>
              </w:rPr>
              <w:t>一级指标</w:t>
            </w:r>
          </w:p>
        </w:tc>
        <w:tc>
          <w:tcPr>
            <w:tcW w:w="87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黑体"/>
                <w:sz w:val="30"/>
                <w:szCs w:val="30"/>
              </w:rPr>
            </w:pPr>
            <w:r>
              <w:rPr>
                <w:rFonts w:eastAsia="黑体"/>
                <w:sz w:val="30"/>
                <w:szCs w:val="30"/>
              </w:rPr>
              <w:t>权重</w:t>
            </w:r>
          </w:p>
        </w:tc>
        <w:tc>
          <w:tcPr>
            <w:tcW w:w="709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黑体"/>
                <w:sz w:val="30"/>
                <w:szCs w:val="30"/>
              </w:rPr>
            </w:pPr>
            <w:r>
              <w:rPr>
                <w:rFonts w:eastAsia="黑体"/>
                <w:sz w:val="30"/>
                <w:szCs w:val="30"/>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900"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80" w:lineRule="exact"/>
              <w:rPr>
                <w:rFonts w:eastAsia="仿宋_GB2312"/>
                <w:b/>
                <w:bCs/>
                <w:sz w:val="30"/>
                <w:szCs w:val="30"/>
              </w:rPr>
            </w:pPr>
            <w:r>
              <w:rPr>
                <w:rFonts w:eastAsia="仿宋_GB2312"/>
                <w:b/>
                <w:bCs/>
                <w:sz w:val="30"/>
                <w:szCs w:val="30"/>
              </w:rPr>
              <w:t>一、</w:t>
            </w:r>
          </w:p>
          <w:p>
            <w:pPr>
              <w:adjustRightInd w:val="0"/>
              <w:snapToGrid w:val="0"/>
              <w:spacing w:line="480" w:lineRule="exact"/>
              <w:rPr>
                <w:rFonts w:eastAsia="仿宋_GB2312"/>
                <w:b/>
                <w:bCs/>
                <w:sz w:val="30"/>
                <w:szCs w:val="30"/>
              </w:rPr>
            </w:pPr>
            <w:r>
              <w:rPr>
                <w:rFonts w:eastAsia="仿宋_GB2312"/>
                <w:b/>
                <w:bCs/>
                <w:sz w:val="30"/>
                <w:szCs w:val="30"/>
              </w:rPr>
              <w:t>专业</w:t>
            </w:r>
          </w:p>
          <w:p>
            <w:pPr>
              <w:adjustRightInd w:val="0"/>
              <w:snapToGrid w:val="0"/>
              <w:spacing w:line="480" w:lineRule="exact"/>
              <w:rPr>
                <w:rFonts w:eastAsia="仿宋_GB2312"/>
                <w:b/>
                <w:sz w:val="30"/>
                <w:szCs w:val="30"/>
              </w:rPr>
            </w:pPr>
            <w:r>
              <w:rPr>
                <w:rFonts w:eastAsia="仿宋_GB2312"/>
                <w:b/>
                <w:bCs/>
                <w:sz w:val="30"/>
                <w:szCs w:val="30"/>
              </w:rPr>
              <w:t>基础</w:t>
            </w:r>
          </w:p>
        </w:tc>
        <w:tc>
          <w:tcPr>
            <w:tcW w:w="872"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eastAsia="仿宋_GB2312"/>
                <w:sz w:val="30"/>
                <w:szCs w:val="30"/>
              </w:rPr>
            </w:pPr>
            <w:r>
              <w:rPr>
                <w:rFonts w:eastAsia="仿宋_GB2312"/>
                <w:sz w:val="30"/>
                <w:szCs w:val="30"/>
              </w:rPr>
              <w:t>30</w:t>
            </w:r>
          </w:p>
        </w:tc>
        <w:tc>
          <w:tcPr>
            <w:tcW w:w="70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ind w:firstLine="70" w:firstLineChars="25"/>
              <w:rPr>
                <w:rFonts w:eastAsia="仿宋_GB2312"/>
                <w:sz w:val="28"/>
                <w:szCs w:val="30"/>
              </w:rPr>
            </w:pPr>
            <w:r>
              <w:rPr>
                <w:rFonts w:eastAsia="仿宋_GB2312"/>
                <w:sz w:val="28"/>
                <w:szCs w:val="30"/>
              </w:rPr>
              <w:t>1.专业基本情况符合申报条件，现有专业支撑条件合理，校企联合开设课程设置合理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480" w:lineRule="exact"/>
              <w:jc w:val="left"/>
              <w:rPr>
                <w:rFonts w:eastAsia="仿宋_GB2312"/>
                <w:b/>
                <w:sz w:val="30"/>
                <w:szCs w:val="30"/>
              </w:rPr>
            </w:pPr>
          </w:p>
        </w:tc>
        <w:tc>
          <w:tcPr>
            <w:tcW w:w="87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30"/>
                <w:szCs w:val="30"/>
              </w:rPr>
            </w:pPr>
          </w:p>
        </w:tc>
        <w:tc>
          <w:tcPr>
            <w:tcW w:w="70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ind w:firstLine="70" w:firstLineChars="25"/>
              <w:rPr>
                <w:rFonts w:eastAsia="仿宋_GB2312"/>
                <w:sz w:val="28"/>
                <w:szCs w:val="30"/>
              </w:rPr>
            </w:pPr>
            <w:r>
              <w:rPr>
                <w:rFonts w:eastAsia="仿宋_GB2312"/>
                <w:sz w:val="28"/>
                <w:szCs w:val="30"/>
              </w:rPr>
              <w:t>2.项目负责人具有正高职称（高职可放宽</w:t>
            </w:r>
            <w:r>
              <w:rPr>
                <w:rStyle w:val="4"/>
                <w:rFonts w:eastAsia="仿宋_GB2312"/>
                <w:b w:val="0"/>
                <w:sz w:val="32"/>
                <w:szCs w:val="32"/>
              </w:rPr>
              <w:t>至</w:t>
            </w:r>
            <w:r>
              <w:rPr>
                <w:rFonts w:eastAsia="仿宋_GB2312"/>
                <w:sz w:val="28"/>
                <w:szCs w:val="30"/>
              </w:rPr>
              <w:t>副高职称），师资队伍专兼结合，结构合理，核心骨干相对稳定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480" w:lineRule="exact"/>
              <w:jc w:val="left"/>
              <w:rPr>
                <w:rFonts w:eastAsia="仿宋_GB2312"/>
                <w:b/>
                <w:sz w:val="30"/>
                <w:szCs w:val="30"/>
              </w:rPr>
            </w:pPr>
          </w:p>
        </w:tc>
        <w:tc>
          <w:tcPr>
            <w:tcW w:w="87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30"/>
                <w:szCs w:val="30"/>
              </w:rPr>
            </w:pPr>
          </w:p>
        </w:tc>
        <w:tc>
          <w:tcPr>
            <w:tcW w:w="70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ind w:firstLine="70" w:firstLineChars="25"/>
              <w:rPr>
                <w:rFonts w:eastAsia="仿宋_GB2312"/>
                <w:sz w:val="28"/>
                <w:szCs w:val="30"/>
              </w:rPr>
            </w:pPr>
            <w:r>
              <w:rPr>
                <w:rFonts w:eastAsia="仿宋_GB2312"/>
                <w:sz w:val="28"/>
                <w:szCs w:val="30"/>
              </w:rPr>
              <w:t>3.现有教学基础和实验实训条件能满足服务外包人才培养需求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480" w:lineRule="exact"/>
              <w:jc w:val="left"/>
              <w:rPr>
                <w:rFonts w:eastAsia="仿宋_GB2312"/>
                <w:b/>
                <w:sz w:val="30"/>
                <w:szCs w:val="30"/>
              </w:rPr>
            </w:pPr>
          </w:p>
        </w:tc>
        <w:tc>
          <w:tcPr>
            <w:tcW w:w="87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30"/>
                <w:szCs w:val="30"/>
              </w:rPr>
            </w:pPr>
          </w:p>
        </w:tc>
        <w:tc>
          <w:tcPr>
            <w:tcW w:w="70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ind w:firstLine="70" w:firstLineChars="25"/>
              <w:rPr>
                <w:rFonts w:eastAsia="仿宋_GB2312"/>
                <w:sz w:val="28"/>
                <w:szCs w:val="30"/>
              </w:rPr>
            </w:pPr>
            <w:r>
              <w:rPr>
                <w:rFonts w:eastAsia="仿宋_GB2312"/>
                <w:bCs/>
                <w:sz w:val="28"/>
                <w:szCs w:val="30"/>
              </w:rPr>
              <w:t>4.积极实施服务外包相关教学改革</w:t>
            </w:r>
            <w:r>
              <w:rPr>
                <w:rFonts w:eastAsia="仿宋_GB2312"/>
                <w:sz w:val="28"/>
                <w:szCs w:val="30"/>
              </w:rPr>
              <w:t>，人才培养质量较高（</w:t>
            </w:r>
            <w:r>
              <w:rPr>
                <w:rFonts w:eastAsia="仿宋_GB2312"/>
                <w:b/>
                <w:sz w:val="28"/>
                <w:szCs w:val="30"/>
              </w:rPr>
              <w:t>延续性项目</w:t>
            </w:r>
            <w:r>
              <w:rPr>
                <w:rFonts w:eastAsia="仿宋_GB2312"/>
                <w:sz w:val="28"/>
                <w:szCs w:val="30"/>
              </w:rPr>
              <w:t>：毕业生具有较强竞争力，去向与项目培养目标基本吻合，从事服务外包行业的比例不低于50%）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900" w:type="dxa"/>
            <w:vMerge w:val="restart"/>
            <w:tcBorders>
              <w:top w:val="single" w:color="auto" w:sz="4" w:space="0"/>
              <w:left w:val="single" w:color="auto" w:sz="4" w:space="0"/>
              <w:right w:val="single" w:color="auto" w:sz="4" w:space="0"/>
            </w:tcBorders>
            <w:noWrap w:val="0"/>
            <w:vAlign w:val="center"/>
          </w:tcPr>
          <w:p>
            <w:pPr>
              <w:widowControl/>
              <w:adjustRightInd w:val="0"/>
              <w:snapToGrid w:val="0"/>
              <w:spacing w:line="480" w:lineRule="exact"/>
              <w:jc w:val="left"/>
              <w:rPr>
                <w:rFonts w:eastAsia="仿宋_GB2312"/>
                <w:b/>
                <w:sz w:val="30"/>
                <w:szCs w:val="30"/>
              </w:rPr>
            </w:pPr>
            <w:r>
              <w:rPr>
                <w:rFonts w:eastAsia="仿宋_GB2312"/>
                <w:b/>
                <w:sz w:val="30"/>
                <w:szCs w:val="30"/>
              </w:rPr>
              <w:t>二、</w:t>
            </w:r>
          </w:p>
          <w:p>
            <w:pPr>
              <w:widowControl/>
              <w:adjustRightInd w:val="0"/>
              <w:snapToGrid w:val="0"/>
              <w:spacing w:line="480" w:lineRule="exact"/>
              <w:jc w:val="left"/>
              <w:rPr>
                <w:rFonts w:eastAsia="仿宋_GB2312"/>
                <w:b/>
                <w:sz w:val="30"/>
                <w:szCs w:val="30"/>
              </w:rPr>
            </w:pPr>
            <w:r>
              <w:rPr>
                <w:rFonts w:eastAsia="仿宋_GB2312"/>
                <w:b/>
                <w:sz w:val="30"/>
                <w:szCs w:val="30"/>
              </w:rPr>
              <w:t>合作</w:t>
            </w:r>
          </w:p>
          <w:p>
            <w:pPr>
              <w:widowControl/>
              <w:adjustRightInd w:val="0"/>
              <w:snapToGrid w:val="0"/>
              <w:spacing w:line="480" w:lineRule="exact"/>
              <w:jc w:val="left"/>
              <w:rPr>
                <w:rFonts w:eastAsia="仿宋_GB2312"/>
                <w:b/>
                <w:sz w:val="30"/>
                <w:szCs w:val="30"/>
              </w:rPr>
            </w:pPr>
            <w:r>
              <w:rPr>
                <w:rFonts w:eastAsia="仿宋_GB2312"/>
                <w:b/>
                <w:sz w:val="30"/>
                <w:szCs w:val="30"/>
              </w:rPr>
              <w:t>企业</w:t>
            </w:r>
          </w:p>
        </w:tc>
        <w:tc>
          <w:tcPr>
            <w:tcW w:w="872"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sz w:val="30"/>
                <w:szCs w:val="30"/>
              </w:rPr>
            </w:pPr>
            <w:r>
              <w:rPr>
                <w:rFonts w:eastAsia="仿宋_GB2312"/>
                <w:sz w:val="30"/>
                <w:szCs w:val="30"/>
              </w:rPr>
              <w:t>20</w:t>
            </w:r>
          </w:p>
        </w:tc>
        <w:tc>
          <w:tcPr>
            <w:tcW w:w="70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ind w:firstLine="70" w:firstLineChars="25"/>
              <w:rPr>
                <w:rFonts w:eastAsia="仿宋_GB2312"/>
                <w:bCs/>
                <w:sz w:val="28"/>
                <w:szCs w:val="30"/>
              </w:rPr>
            </w:pPr>
            <w:r>
              <w:rPr>
                <w:rFonts w:eastAsia="仿宋_GB2312"/>
                <w:bCs/>
                <w:sz w:val="28"/>
                <w:szCs w:val="30"/>
              </w:rPr>
              <w:t>1.合作企业具有独立法人资格，为服务外包企业且具有相关培训资质，在同类企业中影响力较大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900" w:type="dxa"/>
            <w:vMerge w:val="continue"/>
            <w:tcBorders>
              <w:left w:val="single" w:color="auto" w:sz="4" w:space="0"/>
              <w:right w:val="single" w:color="auto" w:sz="4" w:space="0"/>
            </w:tcBorders>
            <w:noWrap w:val="0"/>
            <w:vAlign w:val="center"/>
          </w:tcPr>
          <w:p>
            <w:pPr>
              <w:widowControl/>
              <w:adjustRightInd w:val="0"/>
              <w:snapToGrid w:val="0"/>
              <w:spacing w:line="480" w:lineRule="exact"/>
              <w:jc w:val="left"/>
              <w:rPr>
                <w:rFonts w:eastAsia="仿宋_GB2312"/>
                <w:b/>
                <w:sz w:val="30"/>
                <w:szCs w:val="30"/>
              </w:rPr>
            </w:pPr>
          </w:p>
        </w:tc>
        <w:tc>
          <w:tcPr>
            <w:tcW w:w="872" w:type="dxa"/>
            <w:vMerge w:val="continue"/>
            <w:tcBorders>
              <w:left w:val="single" w:color="auto" w:sz="4" w:space="0"/>
              <w:right w:val="single" w:color="auto" w:sz="4" w:space="0"/>
            </w:tcBorders>
            <w:noWrap w:val="0"/>
            <w:vAlign w:val="center"/>
          </w:tcPr>
          <w:p>
            <w:pPr>
              <w:widowControl/>
              <w:jc w:val="left"/>
              <w:rPr>
                <w:rFonts w:eastAsia="仿宋_GB2312"/>
                <w:sz w:val="30"/>
                <w:szCs w:val="30"/>
              </w:rPr>
            </w:pPr>
          </w:p>
        </w:tc>
        <w:tc>
          <w:tcPr>
            <w:tcW w:w="70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ind w:firstLine="70" w:firstLineChars="25"/>
              <w:rPr>
                <w:rFonts w:eastAsia="仿宋_GB2312"/>
                <w:bCs/>
                <w:sz w:val="28"/>
                <w:szCs w:val="30"/>
              </w:rPr>
            </w:pPr>
            <w:r>
              <w:rPr>
                <w:rFonts w:eastAsia="仿宋_GB2312"/>
                <w:bCs/>
                <w:sz w:val="28"/>
                <w:szCs w:val="30"/>
              </w:rPr>
              <w:t>2.实施嵌入式人才培养经验丰富，可参与项目培养的具有工程师以上职称的人数不少于20人，承担嵌入式人才培养项目专业课和实践实训课程等环节的教学时数占总教学学时的比例应达到25％以上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900" w:type="dxa"/>
            <w:vMerge w:val="continue"/>
            <w:tcBorders>
              <w:left w:val="single" w:color="auto" w:sz="4" w:space="0"/>
              <w:bottom w:val="single" w:color="auto" w:sz="4" w:space="0"/>
              <w:right w:val="single" w:color="auto" w:sz="4" w:space="0"/>
            </w:tcBorders>
            <w:noWrap w:val="0"/>
            <w:vAlign w:val="center"/>
          </w:tcPr>
          <w:p>
            <w:pPr>
              <w:widowControl/>
              <w:adjustRightInd w:val="0"/>
              <w:snapToGrid w:val="0"/>
              <w:spacing w:line="480" w:lineRule="exact"/>
              <w:jc w:val="left"/>
              <w:rPr>
                <w:rFonts w:eastAsia="仿宋_GB2312"/>
                <w:b/>
                <w:sz w:val="30"/>
                <w:szCs w:val="30"/>
              </w:rPr>
            </w:pPr>
          </w:p>
        </w:tc>
        <w:tc>
          <w:tcPr>
            <w:tcW w:w="87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sz w:val="30"/>
                <w:szCs w:val="30"/>
              </w:rPr>
            </w:pPr>
          </w:p>
        </w:tc>
        <w:tc>
          <w:tcPr>
            <w:tcW w:w="70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ind w:firstLine="70" w:firstLineChars="25"/>
              <w:rPr>
                <w:rFonts w:eastAsia="仿宋_GB2312"/>
                <w:bCs/>
                <w:sz w:val="28"/>
                <w:szCs w:val="30"/>
              </w:rPr>
            </w:pPr>
            <w:r>
              <w:rPr>
                <w:rFonts w:eastAsia="仿宋_GB2312"/>
                <w:bCs/>
                <w:sz w:val="28"/>
                <w:szCs w:val="30"/>
              </w:rPr>
              <w:t>3.校企合作共建实习实训基地，有为保障嵌入式人才培养新增的或专用的软、硬件设施条件，在教学过程中能为学生提供参与工程实践的平台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vMerge w:val="continue"/>
            <w:tcBorders>
              <w:left w:val="single" w:color="auto" w:sz="4" w:space="0"/>
              <w:bottom w:val="single" w:color="auto" w:sz="4" w:space="0"/>
              <w:right w:val="single" w:color="auto" w:sz="4" w:space="0"/>
            </w:tcBorders>
            <w:noWrap w:val="0"/>
            <w:vAlign w:val="center"/>
          </w:tcPr>
          <w:p>
            <w:pPr>
              <w:widowControl/>
              <w:adjustRightInd w:val="0"/>
              <w:snapToGrid w:val="0"/>
              <w:spacing w:line="480" w:lineRule="exact"/>
              <w:jc w:val="left"/>
              <w:rPr>
                <w:rFonts w:eastAsia="仿宋_GB2312"/>
                <w:b/>
                <w:sz w:val="30"/>
                <w:szCs w:val="30"/>
              </w:rPr>
            </w:pPr>
          </w:p>
        </w:tc>
        <w:tc>
          <w:tcPr>
            <w:tcW w:w="87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sz w:val="30"/>
                <w:szCs w:val="30"/>
              </w:rPr>
            </w:pPr>
          </w:p>
        </w:tc>
        <w:tc>
          <w:tcPr>
            <w:tcW w:w="70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ind w:firstLine="70" w:firstLineChars="25"/>
              <w:rPr>
                <w:rFonts w:eastAsia="仿宋_GB2312"/>
                <w:bCs/>
                <w:sz w:val="28"/>
                <w:szCs w:val="30"/>
              </w:rPr>
            </w:pPr>
            <w:r>
              <w:rPr>
                <w:rFonts w:eastAsia="仿宋_GB2312"/>
                <w:bCs/>
                <w:sz w:val="28"/>
                <w:szCs w:val="30"/>
              </w:rPr>
              <w:t>4.当年度与省内外高校合作实施嵌入式人才培养项目规模适中，原则上一个企业参与申报嵌入式人才培养项目不应过多，且应地域相近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900"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80" w:lineRule="exact"/>
              <w:ind w:firstLine="151" w:firstLineChars="50"/>
              <w:rPr>
                <w:rFonts w:eastAsia="仿宋_GB2312"/>
                <w:b/>
                <w:sz w:val="30"/>
                <w:szCs w:val="30"/>
              </w:rPr>
            </w:pPr>
            <w:r>
              <w:rPr>
                <w:rFonts w:eastAsia="仿宋_GB2312"/>
                <w:b/>
                <w:sz w:val="30"/>
                <w:szCs w:val="30"/>
              </w:rPr>
              <w:t>三、</w:t>
            </w:r>
          </w:p>
          <w:p>
            <w:pPr>
              <w:adjustRightInd w:val="0"/>
              <w:snapToGrid w:val="0"/>
              <w:spacing w:line="480" w:lineRule="exact"/>
              <w:rPr>
                <w:rFonts w:eastAsia="仿宋_GB2312"/>
                <w:b/>
                <w:sz w:val="30"/>
                <w:szCs w:val="30"/>
              </w:rPr>
            </w:pPr>
            <w:r>
              <w:rPr>
                <w:rFonts w:eastAsia="仿宋_GB2312"/>
                <w:b/>
                <w:sz w:val="30"/>
                <w:szCs w:val="30"/>
              </w:rPr>
              <w:t>实施</w:t>
            </w:r>
          </w:p>
          <w:p>
            <w:pPr>
              <w:adjustRightInd w:val="0"/>
              <w:snapToGrid w:val="0"/>
              <w:spacing w:line="480" w:lineRule="exact"/>
              <w:rPr>
                <w:rFonts w:eastAsia="仿宋_GB2312"/>
                <w:b/>
                <w:sz w:val="30"/>
                <w:szCs w:val="30"/>
              </w:rPr>
            </w:pPr>
            <w:r>
              <w:rPr>
                <w:rFonts w:eastAsia="仿宋_GB2312"/>
                <w:b/>
                <w:sz w:val="30"/>
                <w:szCs w:val="30"/>
              </w:rPr>
              <w:t>方案</w:t>
            </w:r>
          </w:p>
        </w:tc>
        <w:tc>
          <w:tcPr>
            <w:tcW w:w="872"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eastAsia="仿宋_GB2312"/>
                <w:sz w:val="30"/>
                <w:szCs w:val="30"/>
              </w:rPr>
            </w:pPr>
            <w:r>
              <w:rPr>
                <w:rFonts w:eastAsia="仿宋_GB2312"/>
                <w:sz w:val="30"/>
                <w:szCs w:val="30"/>
              </w:rPr>
              <w:t>50</w:t>
            </w:r>
          </w:p>
        </w:tc>
        <w:tc>
          <w:tcPr>
            <w:tcW w:w="70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ind w:left="73" w:leftChars="34" w:hanging="2"/>
              <w:rPr>
                <w:rFonts w:eastAsia="仿宋_GB2312"/>
                <w:sz w:val="28"/>
                <w:szCs w:val="30"/>
              </w:rPr>
            </w:pPr>
            <w:r>
              <w:rPr>
                <w:rFonts w:eastAsia="仿宋_GB2312"/>
                <w:sz w:val="28"/>
                <w:szCs w:val="30"/>
              </w:rPr>
              <w:t>1.人才培养方案合理（联合制定的校内学习方案和校外实践方案融合贯通），在人才培养模式改革方面有突破；校企合作人才培养质量保障体系完善，评价机制（含评价方法、评价结果与运用等）健全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jc w:val="center"/>
        </w:trPr>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b/>
                <w:sz w:val="30"/>
                <w:szCs w:val="30"/>
              </w:rPr>
            </w:pPr>
          </w:p>
        </w:tc>
        <w:tc>
          <w:tcPr>
            <w:tcW w:w="87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30"/>
                <w:szCs w:val="30"/>
              </w:rPr>
            </w:pPr>
          </w:p>
        </w:tc>
        <w:tc>
          <w:tcPr>
            <w:tcW w:w="70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ind w:firstLine="70" w:firstLineChars="25"/>
              <w:rPr>
                <w:rFonts w:eastAsia="仿宋_GB2312"/>
                <w:sz w:val="28"/>
                <w:szCs w:val="30"/>
              </w:rPr>
            </w:pPr>
            <w:r>
              <w:rPr>
                <w:rFonts w:eastAsia="仿宋_GB2312"/>
                <w:sz w:val="28"/>
                <w:szCs w:val="30"/>
              </w:rPr>
              <w:t>2.根据服务外包产业职业发展能力需求量身定制开发课程模块或项目化课程，构建与应用型（技术技能型）人才培养定位相符的科学合理的嵌入式课程体系（设有创新创业课程），对强化学生创新创业实践能力、工程复杂问题解决能力、沟通交流能力和外语应用能力培养有针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b/>
                <w:sz w:val="30"/>
                <w:szCs w:val="30"/>
              </w:rPr>
            </w:pPr>
          </w:p>
        </w:tc>
        <w:tc>
          <w:tcPr>
            <w:tcW w:w="87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30"/>
                <w:szCs w:val="30"/>
              </w:rPr>
            </w:pPr>
          </w:p>
        </w:tc>
        <w:tc>
          <w:tcPr>
            <w:tcW w:w="70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ind w:firstLine="70" w:firstLineChars="25"/>
              <w:rPr>
                <w:rFonts w:eastAsia="仿宋_GB2312"/>
                <w:sz w:val="28"/>
                <w:szCs w:val="30"/>
              </w:rPr>
            </w:pPr>
            <w:r>
              <w:rPr>
                <w:rFonts w:eastAsia="仿宋_GB2312"/>
                <w:sz w:val="28"/>
                <w:szCs w:val="30"/>
              </w:rPr>
              <w:t>3.合作协议有效合理，保障当年度招收一届学生培养周期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b/>
                <w:sz w:val="30"/>
                <w:szCs w:val="30"/>
              </w:rPr>
            </w:pPr>
          </w:p>
        </w:tc>
        <w:tc>
          <w:tcPr>
            <w:tcW w:w="87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30"/>
                <w:szCs w:val="30"/>
              </w:rPr>
            </w:pPr>
          </w:p>
        </w:tc>
        <w:tc>
          <w:tcPr>
            <w:tcW w:w="70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ind w:firstLine="70" w:firstLineChars="25"/>
              <w:rPr>
                <w:rFonts w:eastAsia="仿宋_GB2312"/>
                <w:sz w:val="28"/>
                <w:szCs w:val="30"/>
              </w:rPr>
            </w:pPr>
            <w:r>
              <w:rPr>
                <w:rFonts w:eastAsia="仿宋_GB2312"/>
                <w:sz w:val="28"/>
                <w:szCs w:val="30"/>
              </w:rPr>
              <w:t>4.教学管理机制完善，设有共同参与的专门管理机构，双方签订合作建设协议并有良好的运作基础,教学质量保证体系完善,培养效果有保障</w:t>
            </w:r>
          </w:p>
        </w:tc>
      </w:tr>
    </w:tbl>
    <w:p>
      <w:pPr>
        <w:jc w:val="left"/>
        <w:rPr>
          <w:rFonts w:eastAsia="黑体"/>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365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2022-03-11T03:01:10Z</dcterms:created>
  <dc:creator>THTF</dc:creator>
  <cp:lastModifiedBy>王岑</cp:lastModifiedBy>
  <dcterms:modified xsi:type="dcterms:W3CDTF">2022-03-11T03:01:28Z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9E05604699DC4039B01FCBB84CC076D9</vt:lpwstr>
  </property>
</Properties>
</file>