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FAE0D">
      <w:pPr>
        <w:pStyle w:val="15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t>南京晓庄学院百年晓庄文创作品设计大赛</w:t>
      </w:r>
      <mc:AlternateContent>
        <mc:Choice Requires="wpsCustomData">
          <wpsCustomData:docfieldEnd id="0"/>
        </mc:Choice>
      </mc:AlternateContent>
    </w:p>
    <w:p w14:paraId="46EBE9FF">
      <w:pPr>
        <w:pStyle w:val="11"/>
        <w:bidi w:val="0"/>
        <w:spacing w:beforeAutospacing="0" w:afterAutospacing="0" w:line="300" w:lineRule="exact"/>
      </w:pPr>
    </w:p>
    <w:p w14:paraId="485C20B6">
      <w:pPr>
        <w:pStyle w:val="18"/>
        <w:rPr>
          <w:rFonts w:hint="eastAsia" w:ascii="Times New Roman" w:hAnsi="Times New Roman" w:eastAsia="仿宋_GB2312" w:cs="仿宋_GB2312"/>
          <w:color w:val="auto"/>
          <w:spacing w:val="-6"/>
          <w:sz w:val="32"/>
          <w:szCs w:val="32"/>
          <w:lang w:eastAsia="zh-CN"/>
        </w:rPr>
      </w:pPr>
      <mc:AlternateContent>
        <mc:Choice Requires="wpsCustomData">
          <wpsCustomData:docfieldStart id="1" docfieldname="主送机关_1" hidden="0" print="1" readonly="0" index="3"/>
        </mc:Choice>
      </mc:AlternateContent>
      <w:r>
        <w:rPr>
          <w:rFonts w:ascii="Times New Roman" w:hAnsi="Times New Roman" w:eastAsia="仿宋_GB2312" w:cs="仿宋_GB2312"/>
          <w:color w:val="auto"/>
          <w:spacing w:val="-6"/>
          <w:sz w:val="32"/>
          <w:szCs w:val="32"/>
        </w:rPr>
        <w:t>各学院</w:t>
      </w:r>
      <w:r>
        <w:rPr>
          <w:rFonts w:hint="eastAsia" w:cs="仿宋_GB2312"/>
          <w:color w:val="auto"/>
          <w:spacing w:val="-6"/>
          <w:sz w:val="32"/>
          <w:szCs w:val="32"/>
          <w:lang w:eastAsia="zh-CN"/>
        </w:rPr>
        <w:t>：</w:t>
      </w:r>
      <mc:AlternateContent>
        <mc:Choice Requires="wpsCustomData">
          <wpsCustomData:docfieldEnd id="1"/>
        </mc:Choice>
      </mc:AlternateContent>
    </w:p>
    <w:p w14:paraId="5E2E4504">
      <w:pPr>
        <w:pStyle w:val="11"/>
        <w:rPr>
          <w:rFonts w:hint="default" w:ascii="Times New Roman" w:hAnsi="Times New Roman" w:eastAsia="仿宋_GB2312" w:cs="仿宋_GB2312"/>
          <w:color w:val="auto"/>
          <w:spacing w:val="-6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color w:val="auto"/>
          <w:spacing w:val="-6"/>
          <w:sz w:val="32"/>
          <w:szCs w:val="32"/>
        </w:rPr>
        <w:t>为迎接南京晓庄学院建校百年，传承百年文脉、凝聚师生校友力量，展现学校百年办学成就与新时代风貌，经研究决定，特举办南京晓庄学院百年晓庄文创作品设计大赛。通过师生联动、校企协同、科技赋能，打造一场兼具历史底蕴、文</w:t>
      </w:r>
      <w:bookmarkStart w:id="0" w:name="_GoBack"/>
      <w:bookmarkEnd w:id="0"/>
      <w:r>
        <w:rPr>
          <w:rFonts w:ascii="Times New Roman" w:hAnsi="Times New Roman" w:eastAsia="仿宋_GB2312" w:cs="仿宋_GB2312"/>
          <w:color w:val="auto"/>
          <w:spacing w:val="-6"/>
          <w:sz w:val="32"/>
          <w:szCs w:val="32"/>
        </w:rPr>
        <w:t>化内涵与科技美感的百年庆典。</w:t>
      </w:r>
    </w:p>
    <w:p w14:paraId="4841FB34">
      <w:pPr>
        <w:pStyle w:val="2"/>
        <w:numPr>
          <w:ilvl w:val="0"/>
          <w:numId w:val="0"/>
        </w:numPr>
        <w:topLinePunct w:val="0"/>
        <w:bidi w:val="0"/>
        <w:ind w:left="0" w:leftChars="0" w:firstLine="640"/>
        <w:rPr>
          <w:rFonts w:hint="eastAsia" w:ascii="黑体" w:hAnsi="黑体" w:eastAsia="黑体" w:cs="黑体"/>
          <w:b w:val="0"/>
          <w:color w:val="auto"/>
          <w:szCs w:val="32"/>
        </w:rPr>
      </w:pPr>
      <w:r>
        <w:rPr>
          <w:rFonts w:hint="eastAsia"/>
          <w:lang w:eastAsia="zh-CN"/>
        </w:rPr>
        <w:t>一、</w:t>
      </w:r>
      <w:r>
        <w:t>文创主题</w:t>
      </w:r>
    </w:p>
    <w:p w14:paraId="273DED10">
      <w:pPr>
        <w:pStyle w:val="11"/>
        <w:rPr>
          <w:rFonts w:hint="eastAsia" w:ascii="Calibri" w:hAnsi="Calibri" w:eastAsia="仿宋_GB2312" w:cs="Calibri"/>
          <w:color w:val="auto"/>
          <w:spacing w:val="0"/>
          <w:position w:val="0"/>
          <w:sz w:val="21"/>
          <w:shd w:val="clear" w:fill="auto"/>
          <w:lang w:eastAsia="zh-CN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百年晓庄，知行致远；陶韵薪传，逐梦新程</w:t>
      </w:r>
      <w:r>
        <w:rPr>
          <w:rFonts w:hint="eastAsia" w:cs="仿宋_GB2312"/>
          <w:color w:val="auto"/>
          <w:sz w:val="32"/>
          <w:szCs w:val="32"/>
          <w:lang w:eastAsia="zh-CN"/>
        </w:rPr>
        <w:t>。</w:t>
      </w:r>
    </w:p>
    <w:p w14:paraId="1C2FB074">
      <w:pPr>
        <w:pStyle w:val="2"/>
        <w:numPr>
          <w:ilvl w:val="0"/>
          <w:numId w:val="0"/>
        </w:numPr>
        <w:topLinePunct w:val="0"/>
        <w:bidi w:val="0"/>
        <w:ind w:left="0" w:leftChars="0" w:firstLine="640"/>
        <w:rPr>
          <w:rFonts w:hint="eastAsia" w:ascii="黑体" w:hAnsi="黑体" w:eastAsia="黑体" w:cs="黑体"/>
          <w:b w:val="0"/>
          <w:color w:val="auto"/>
          <w:szCs w:val="32"/>
        </w:rPr>
      </w:pPr>
      <w:r>
        <w:rPr>
          <w:rFonts w:hint="eastAsia"/>
          <w:lang w:eastAsia="zh-CN"/>
        </w:rPr>
        <w:t>二、</w:t>
      </w:r>
      <w:r>
        <w:t>活动对象</w:t>
      </w:r>
    </w:p>
    <w:p w14:paraId="3EFB1732">
      <w:pPr>
        <w:pStyle w:val="11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南京晓庄学院全体在校学生（本科生、研究生）、往届毕业生</w:t>
      </w:r>
      <w:r>
        <w:rPr>
          <w:rFonts w:hint="eastAsia" w:cs="仿宋_GB2312"/>
          <w:color w:val="auto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可单人投稿，也可组队投稿（组队人数不超过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人）。</w:t>
      </w:r>
    </w:p>
    <w:p w14:paraId="57F8682B">
      <w:pPr>
        <w:pStyle w:val="11"/>
        <w:numPr>
          <w:numId w:val="0"/>
        </w:numPr>
        <w:topLinePunct w:val="0"/>
        <w:ind w:leftChars="200" w:firstLine="308" w:firstLineChars="100"/>
        <w:rPr>
          <w:rStyle w:val="19"/>
          <w:rFonts w:hint="default" w:eastAsia="黑体"/>
          <w:lang w:val="en-US" w:eastAsia="zh-CN"/>
        </w:rPr>
      </w:pPr>
      <w:r>
        <w:rPr>
          <w:rStyle w:val="19"/>
          <w:rFonts w:hint="eastAsia" w:eastAsia="黑体"/>
          <w:lang w:val="en-US" w:eastAsia="zh-CN"/>
        </w:rPr>
        <w:t>三、活动负责单位</w:t>
      </w:r>
    </w:p>
    <w:p w14:paraId="2DF90F48">
      <w:pPr>
        <w:pStyle w:val="11"/>
        <w:numPr>
          <w:ilvl w:val="0"/>
          <w:numId w:val="0"/>
        </w:numPr>
        <w:topLinePunct w:val="0"/>
        <w:ind w:leftChars="200" w:firstLine="308" w:firstLineChars="100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主办单位：陶行知研究院</w:t>
      </w:r>
    </w:p>
    <w:p w14:paraId="452462DD">
      <w:pPr>
        <w:pStyle w:val="11"/>
        <w:numPr>
          <w:ilvl w:val="0"/>
          <w:numId w:val="0"/>
        </w:numPr>
        <w:topLinePunct w:val="0"/>
        <w:ind w:leftChars="200" w:firstLine="308" w:firstLineChars="100"/>
        <w:rPr>
          <w:rFonts w:hint="default" w:ascii="Times New Roman" w:hAnsi="Times New Roman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协办单位：美术学院</w:t>
      </w:r>
    </w:p>
    <w:p w14:paraId="23345D85">
      <w:pPr>
        <w:pStyle w:val="11"/>
        <w:numPr>
          <w:ilvl w:val="0"/>
          <w:numId w:val="0"/>
        </w:numPr>
        <w:topLinePunct w:val="0"/>
        <w:ind w:leftChars="200" w:firstLine="308" w:firstLineChars="100"/>
        <w:rPr>
          <w:rFonts w:hint="default" w:ascii="Times New Roman" w:hAnsi="Times New Roman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指导单位：中国陶行知研究会生活美育研究与实践专业委员会</w:t>
      </w:r>
    </w:p>
    <w:p w14:paraId="0B89B611">
      <w:pPr>
        <w:pStyle w:val="11"/>
        <w:numPr>
          <w:ilvl w:val="0"/>
          <w:numId w:val="0"/>
        </w:numPr>
        <w:topLinePunct w:val="0"/>
        <w:ind w:leftChars="200" w:firstLine="308" w:firstLineChars="100"/>
        <w:rPr>
          <w:rFonts w:hint="eastAsia" w:cs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承办单位：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大</w:t>
      </w:r>
      <w:r>
        <w:rPr>
          <w:rFonts w:hint="eastAsia" w:ascii="Times New Roman" w:hAnsi="Times New Roman" w:eastAsia="仿宋_GB2312" w:cs="仿宋_GB2312"/>
          <w:color w:val="auto"/>
          <w:spacing w:val="-6"/>
          <w:sz w:val="32"/>
          <w:szCs w:val="32"/>
        </w:rPr>
        <w:t>学生陶行知思想研究会</w:t>
      </w:r>
      <w:r>
        <w:rPr>
          <w:rFonts w:hint="eastAsia" w:cs="仿宋_GB2312"/>
          <w:color w:val="auto"/>
          <w:spacing w:val="-6"/>
          <w:sz w:val="32"/>
          <w:szCs w:val="32"/>
          <w:lang w:eastAsia="zh-CN"/>
        </w:rPr>
        <w:t>、</w:t>
      </w:r>
      <w:r>
        <w:rPr>
          <w:rFonts w:hint="eastAsia" w:cs="仿宋_GB2312"/>
          <w:color w:val="auto"/>
          <w:spacing w:val="-6"/>
          <w:sz w:val="32"/>
          <w:szCs w:val="32"/>
          <w:lang w:val="en-US" w:eastAsia="zh-CN"/>
        </w:rPr>
        <w:t>闲鱼科技有限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公司</w:t>
      </w:r>
    </w:p>
    <w:p w14:paraId="246B1A5A">
      <w:pPr>
        <w:pStyle w:val="11"/>
        <w:ind w:firstLine="840"/>
        <w:rPr>
          <w:rFonts w:hint="default" w:cs="仿宋_GB2312"/>
          <w:color w:val="auto"/>
          <w:sz w:val="32"/>
          <w:szCs w:val="32"/>
          <w:lang w:val="en-US" w:eastAsia="zh-CN"/>
        </w:rPr>
      </w:pPr>
    </w:p>
    <w:p w14:paraId="1FA41131">
      <w:pPr>
        <w:pStyle w:val="2"/>
        <w:numPr>
          <w:ilvl w:val="0"/>
          <w:numId w:val="0"/>
        </w:numPr>
        <w:topLinePunct w:val="0"/>
        <w:bidi w:val="0"/>
        <w:ind w:left="0" w:leftChars="0" w:firstLine="640"/>
        <w:rPr>
          <w:rFonts w:hint="eastAsia" w:ascii="黑体" w:hAnsi="黑体" w:eastAsia="黑体" w:cs="黑体"/>
          <w:b w:val="0"/>
          <w:color w:val="auto"/>
          <w:szCs w:val="32"/>
        </w:rPr>
      </w:pPr>
      <w:r>
        <w:rPr>
          <w:rFonts w:hint="eastAsia"/>
          <w:lang w:eastAsia="zh-CN"/>
        </w:rPr>
        <w:t>四、</w:t>
      </w:r>
      <w:r>
        <w:t>投稿要求</w:t>
      </w:r>
    </w:p>
    <w:p w14:paraId="792D916F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所有作品需紧扣百年校庆主题，融入陶行知“知行合一”“捧着一颗心来，不带半根草去”等教育理念，体现晓庄学子的精神风貌，内容积极向上、原创真实，严禁抄袭、剽窃。</w:t>
      </w:r>
    </w:p>
    <w:p w14:paraId="775025C8">
      <w:pPr>
        <w:pStyle w:val="11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推荐文创类别：LOGO设计、周边产品设计（可结合悬浮科技、全息影像元素，如悬浮摆件设计、全息钥匙扣设计，手机背贴等）。</w:t>
      </w:r>
    </w:p>
    <w:p w14:paraId="5A84D19C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  <w:lang w:val="en-US" w:eastAsia="zh-CN"/>
        </w:rPr>
        <w:t>作品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要求：设计作品需提交电子版（LOGO分辨率不低于300dpi，周边设计需提交设计图及文字说明，注明设计理念、材质、尺寸等）；设计需融入学校校徽、校训、百年校庆元素、陶行知形象及教育理念，兼具美观性、实用性与创新性，若涉及悬浮、全息元素，需简要说明技术适配思路。</w:t>
      </w:r>
    </w:p>
    <w:p w14:paraId="1DC44038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</w:p>
    <w:p w14:paraId="304FBA7A">
      <w:pPr>
        <w:pStyle w:val="2"/>
        <w:numPr>
          <w:ilvl w:val="0"/>
          <w:numId w:val="0"/>
        </w:numPr>
        <w:topLinePunct w:val="0"/>
        <w:bidi w:val="0"/>
        <w:ind w:left="0" w:leftChars="0" w:firstLine="640"/>
        <w:rPr>
          <w:rFonts w:hint="eastAsia" w:ascii="黑体" w:hAnsi="黑体" w:eastAsia="黑体" w:cs="黑体"/>
          <w:b w:val="0"/>
          <w:color w:val="auto"/>
          <w:szCs w:val="32"/>
        </w:rPr>
      </w:pPr>
      <w:r>
        <w:rPr>
          <w:rFonts w:hint="eastAsia"/>
          <w:lang w:eastAsia="zh-CN"/>
        </w:rPr>
        <w:t>五、</w:t>
      </w:r>
      <w:r>
        <w:t>报名流程</w:t>
      </w:r>
    </w:p>
    <w:p w14:paraId="49A18252">
      <w:pPr>
        <w:pStyle w:val="11"/>
        <w:numPr>
          <w:ilvl w:val="0"/>
          <w:numId w:val="0"/>
        </w:numPr>
        <w:ind w:left="0" w:leftChars="0" w:firstLine="616"/>
        <w:rPr>
          <w:rFonts w:hint="default" w:ascii="宋体" w:hAnsi="宋体" w:eastAsia="仿宋_GB2312" w:cs="宋体"/>
          <w:color w:val="auto"/>
          <w:spacing w:val="0"/>
          <w:position w:val="0"/>
          <w:sz w:val="24"/>
          <w:shd w:val="clear" w:fill="auto"/>
          <w:lang w:val="en-US" w:eastAsia="zh-CN"/>
        </w:rPr>
      </w:pPr>
      <w:r>
        <w:rPr>
          <w:rFonts w:hint="eastAsia" w:cs="仿宋_GB2312"/>
          <w:color w:val="auto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征集阶段（4月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日－5月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日）投稿专用邮箱：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2730419502@qq.com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，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邮件需备注《学院+姓名+电话+文创类别》+IP授权书。</w:t>
      </w:r>
      <w:r>
        <w:rPr>
          <w:rFonts w:hint="eastAsia" w:cs="仿宋_GB2312"/>
          <w:color w:val="auto"/>
          <w:spacing wpsCustomData:val="-6" w:val="27"/>
          <w:sz w:val="32"/>
          <w:szCs w:val="32"/>
          <w:lang w:val="en-US" w:eastAsia="zh-CN"/>
        </w:rPr>
        <w:t>大</w:t>
      </w:r>
      <w:r>
        <w:rPr>
          <w:rFonts w:ascii="Times New Roman" w:hAnsi="Times New Roman" w:eastAsia="仿宋_GB2312" w:cs="仿宋_GB2312"/>
          <w:color w:val="auto"/>
          <w:spacing wpsCustomData:val="-6" w:val="28"/>
          <w:sz w:val="32"/>
          <w:szCs w:val="32"/>
        </w:rPr>
        <w:t>赛</w:t>
      </w:r>
      <w:r>
        <w:rPr>
          <w:rFonts w:ascii="Times New Roman" w:hAnsi="Times New Roman" w:eastAsia="仿宋_GB2312" w:cs="仿宋_GB2312"/>
          <w:color w:val="auto"/>
          <w:spacing wpsCustomData:val="-6" w:val="-6"/>
          <w:sz w:val="32"/>
          <w:szCs w:val="32"/>
        </w:rPr>
        <w:t>Q</w:t>
      </w:r>
      <w:r>
        <w:rPr>
          <w:rFonts w:ascii="Times New Roman" w:hAnsi="Times New Roman" w:eastAsia="仿宋_GB2312" w:cs="仿宋_GB2312"/>
          <w:color w:val="auto"/>
          <w:spacing wpsCustomData:val="-6" w:val="-5"/>
          <w:sz w:val="32"/>
          <w:szCs w:val="32"/>
        </w:rPr>
        <w:t>Q</w:t>
      </w:r>
      <w:r>
        <w:rPr>
          <w:rFonts w:ascii="Times New Roman" w:hAnsi="Times New Roman" w:eastAsia="仿宋_GB2312" w:cs="仿宋_GB2312"/>
          <w:color w:val="auto"/>
          <w:spacing wpsCustomData:val="-6" w:val="28"/>
          <w:sz w:val="32"/>
          <w:szCs w:val="32"/>
        </w:rPr>
        <w:t>群</w:t>
      </w:r>
      <w:r>
        <w:rPr>
          <w:rFonts w:hint="eastAsia" w:cs="仿宋_GB2312"/>
          <w:color w:val="auto"/>
          <w:spacing wpsCustomData:val="-6" w:val="28"/>
          <w:sz w:val="32"/>
          <w:szCs w:val="32"/>
          <w:lang w:val="en-US" w:eastAsia="zh-CN"/>
        </w:rPr>
        <w:t>号</w:t>
      </w:r>
      <w:r>
        <w:rPr>
          <w:rFonts w:ascii="Times New Roman" w:hAnsi="Times New Roman" w:eastAsia="仿宋_GB2312" w:cs="仿宋_GB2312"/>
          <w:color w:val="auto"/>
          <w:spacing wpsCustomData:val="-6" w:val="28"/>
          <w:sz w:val="32"/>
          <w:szCs w:val="32"/>
        </w:rPr>
        <w:t>：</w:t>
      </w:r>
      <w:r>
        <w:rPr>
          <w:rFonts w:hint="eastAsia" w:ascii="Times New Roman" w:hAnsi="Times New Roman" w:eastAsia="仿宋_GB2312" w:cs="仿宋_GB2312"/>
          <w:color w:val="auto"/>
          <w:spacing wpsCustomData:val="-6" w:val="-6"/>
          <w:sz w:val="32"/>
          <w:szCs w:val="32"/>
        </w:rPr>
        <w:t>108448706</w:t>
      </w:r>
      <w:r>
        <w:rPr>
          <w:rFonts w:hint="eastAsia" w:ascii="Times New Roman" w:hAnsi="Times New Roman" w:eastAsia="仿宋_GB2312" w:cs="仿宋_GB2312"/>
          <w:color w:val="auto"/>
          <w:spacing wpsCustomData:val="-6" w:val="28"/>
          <w:sz w:val="32"/>
          <w:szCs w:val="32"/>
        </w:rPr>
        <w:t>8</w:t>
      </w:r>
      <w:r>
        <w:rPr>
          <w:rFonts w:hint="eastAsia" w:cs="仿宋_GB2312"/>
          <w:color w:val="auto"/>
          <w:spacing wpsCustomData:val="-6" w:val="27"/>
          <w:sz w:val="32"/>
          <w:szCs w:val="32"/>
          <w:lang w:eastAsia="zh-CN"/>
        </w:rPr>
        <w:t>，</w:t>
      </w:r>
      <w:r>
        <w:rPr>
          <w:rFonts w:hint="eastAsia" w:cs="仿宋_GB2312"/>
          <w:color w:val="auto"/>
          <w:spacing wpsCustomData:val="-6" w:val="28"/>
          <w:sz w:val="32"/>
          <w:szCs w:val="32"/>
          <w:lang w:val="en-US" w:eastAsia="zh-CN"/>
        </w:rPr>
        <w:t>联系老师：李晓军，</w:t>
      </w:r>
      <w:r>
        <w:rPr>
          <w:rFonts w:hint="eastAsia" w:cs="仿宋_GB2312"/>
          <w:color w:val="auto"/>
          <w:spacing wpsCustomData:val="-6" w:val="-6"/>
          <w:sz w:val="32"/>
          <w:szCs w:val="32"/>
          <w:lang w:val="en-US" w:eastAsia="zh-CN"/>
        </w:rPr>
        <w:t>Q</w:t>
      </w:r>
      <w:r>
        <w:rPr>
          <w:rFonts w:hint="eastAsia" w:cs="仿宋_GB2312"/>
          <w:color w:val="auto"/>
          <w:spacing wpsCustomData:val="-6" w:val="28"/>
          <w:sz w:val="32"/>
          <w:szCs w:val="32"/>
          <w:lang w:val="en-US" w:eastAsia="zh-CN"/>
        </w:rPr>
        <w:t>Q</w:t>
      </w:r>
      <w:r>
        <w:rPr>
          <w:rFonts w:hint="eastAsia" w:cs="仿宋_GB2312"/>
          <w:color w:val="auto"/>
          <w:spacing wpsCustomData:val="-6" w:val="-6"/>
          <w:sz w:val="32"/>
          <w:szCs w:val="32"/>
          <w:lang w:val="en-US" w:eastAsia="zh-CN"/>
        </w:rPr>
        <w:t>：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37545473。</w:t>
      </w:r>
    </w:p>
    <w:p w14:paraId="7069E3FF">
      <w:pPr>
        <w:pStyle w:val="11"/>
        <w:numPr>
          <w:ilvl w:val="0"/>
          <w:numId w:val="0"/>
        </w:numPr>
        <w:ind w:left="0" w:leftChars="0" w:firstLine="616"/>
        <w:rPr>
          <w:rFonts w:ascii="Times New Roman" w:hAnsi="Times New Roman" w:eastAsia="仿宋_GB2312" w:cs="仿宋_GB2312"/>
          <w:b w:val="0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评审阶段（5月上旬）：由组委会对所有投稿作品进行筛选，剔除不符合要求、抄袭的作品，筛选出优秀作品。</w:t>
      </w:r>
    </w:p>
    <w:p w14:paraId="2049EF9D">
      <w:pPr>
        <w:pStyle w:val="11"/>
        <w:numPr>
          <w:ilvl w:val="0"/>
          <w:numId w:val="0"/>
        </w:numPr>
        <w:ind w:left="0" w:leftChars="0" w:firstLine="616"/>
        <w:rPr>
          <w:rFonts w:ascii="Times New Roman" w:hAnsi="Times New Roman" w:eastAsia="仿宋_GB2312" w:cs="仿宋_GB2312"/>
          <w:b w:val="0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颁奖阶段（5月中旬）：在学校官网、微信公众号公示获奖名单。</w:t>
      </w:r>
    </w:p>
    <w:p w14:paraId="210C76AC">
      <w:pPr>
        <w:pStyle w:val="11"/>
        <w:numPr>
          <w:ilvl w:val="0"/>
          <w:numId w:val="0"/>
        </w:numPr>
        <w:ind w:left="0" w:leftChars="0" w:firstLine="616"/>
        <w:rPr>
          <w:rFonts w:ascii="Times New Roman" w:hAnsi="Times New Roman" w:eastAsia="仿宋_GB2312" w:cs="仿宋_GB2312"/>
          <w:b w:val="0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  <w:lang w:eastAsia="zh-CN"/>
        </w:rPr>
        <w:t>4.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作品展示与应用阶段（校庆全年）：将获奖作品在校园宣传栏、学校官网、公众号进行展示；优秀文字作品汇编成校庆征文集，优秀设计作品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优先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纳入校庆周边产品研发、全息影像展示，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为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学生创作成果落地应用。</w:t>
      </w:r>
    </w:p>
    <w:p w14:paraId="4A9D2297">
      <w:pPr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</w:p>
    <w:p w14:paraId="6C73FB4F">
      <w:pPr>
        <w:pStyle w:val="2"/>
        <w:numPr>
          <w:ilvl w:val="0"/>
          <w:numId w:val="0"/>
        </w:numPr>
        <w:topLinePunct w:val="0"/>
        <w:bidi w:val="0"/>
        <w:ind w:left="0" w:leftChars="0" w:firstLine="640"/>
        <w:rPr>
          <w:rFonts w:hint="eastAsia" w:ascii="黑体" w:hAnsi="黑体" w:eastAsia="黑体" w:cs="黑体"/>
          <w:b w:val="0"/>
          <w:color w:val="auto"/>
          <w:szCs w:val="32"/>
        </w:rPr>
      </w:pPr>
      <w:r>
        <w:rPr>
          <w:rFonts w:hint="eastAsia"/>
          <w:lang w:eastAsia="zh-CN"/>
        </w:rPr>
        <w:t>六、</w:t>
      </w:r>
      <w:r>
        <w:t>奖项设置</w:t>
      </w:r>
    </w:p>
    <w:p w14:paraId="6A60DEF9">
      <w:pPr>
        <w:pStyle w:val="11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设置一等奖、二等奖、三等奖及优秀奖，另设“最佳创意奖”、“最佳理念融合奖”（重点奖励融入陶行知理念、悬浮／全息元素的作品）、优秀指导老师奖，具体奖项数量根据投稿数量调整，所有获奖学生均可获得荣誉证书及校庆周边奖品，一等奖作品作者可获得校企合作企业提供的实践实习机会。</w:t>
      </w:r>
    </w:p>
    <w:p w14:paraId="48847881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一等奖（1名）：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800元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奖学金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+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荣誉证书＋高端悬浮校庆周边套装</w:t>
      </w:r>
    </w:p>
    <w:p w14:paraId="0E5A5790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二等奖（2－3名）：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500元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奖学金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+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荣誉证书＋中端校庆周边套装</w:t>
      </w:r>
    </w:p>
    <w:p w14:paraId="76EEFBB7">
      <w:pPr>
        <w:pStyle w:val="11"/>
        <w:ind w:firstLine="420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pacing wpsCustomData:val="-6" w:val="2"/>
          <w:sz w:val="32"/>
          <w:szCs w:val="32"/>
        </w:rPr>
        <w:t>三等奖（5－</w:t>
      </w:r>
      <w:r>
        <w:rPr>
          <w:rFonts w:ascii="Times New Roman" w:hAnsi="Times New Roman" w:eastAsia="仿宋_GB2312" w:cs="仿宋_GB2312"/>
          <w:color w:val="auto"/>
          <w:spacing wpsCustomData:val="-6" w:val="-6"/>
          <w:sz w:val="32"/>
          <w:szCs w:val="32"/>
        </w:rPr>
        <w:t>1</w:t>
      </w:r>
      <w:r>
        <w:rPr>
          <w:rFonts w:ascii="Times New Roman" w:hAnsi="Times New Roman" w:eastAsia="仿宋_GB2312" w:cs="仿宋_GB2312"/>
          <w:color w:val="auto"/>
          <w:spacing wpsCustomData:val="-6" w:val="-30"/>
          <w:sz w:val="32"/>
          <w:szCs w:val="32"/>
        </w:rPr>
        <w:t>0</w:t>
      </w:r>
      <w:r>
        <w:rPr>
          <w:rFonts w:ascii="Times New Roman" w:hAnsi="Times New Roman" w:eastAsia="仿宋_GB2312" w:cs="仿宋_GB2312"/>
          <w:color w:val="auto"/>
          <w:spacing wpsCustomData:val="-6" w:val="2"/>
          <w:sz w:val="32"/>
          <w:szCs w:val="32"/>
        </w:rPr>
        <w:t>名）：</w:t>
      </w:r>
      <w:r>
        <w:rPr>
          <w:rFonts w:hint="eastAsia" w:ascii="Times New Roman" w:hAnsi="Times New Roman" w:eastAsia="仿宋_GB2312" w:cs="仿宋_GB2312"/>
          <w:color w:val="auto"/>
          <w:spacing wpsCustomData:val="-6" w:val="-6"/>
          <w:sz w:val="32"/>
          <w:szCs w:val="32"/>
          <w:lang w:val="en-US" w:eastAsia="zh-CN"/>
        </w:rPr>
        <w:t>30</w:t>
      </w:r>
      <w:r>
        <w:rPr>
          <w:rFonts w:hint="eastAsia" w:ascii="Times New Roman" w:hAnsi="Times New Roman" w:eastAsia="仿宋_GB2312" w:cs="仿宋_GB2312"/>
          <w:color w:val="auto"/>
          <w:spacing wpsCustomData:val="-6" w:val="-29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仿宋_GB2312"/>
          <w:color w:val="auto"/>
          <w:spacing wpsCustomData:val="-6" w:val="2"/>
          <w:sz w:val="32"/>
          <w:szCs w:val="32"/>
          <w:lang w:val="en-US" w:eastAsia="zh-CN"/>
        </w:rPr>
        <w:t>元</w:t>
      </w:r>
      <w:r>
        <w:rPr>
          <w:rFonts w:ascii="Times New Roman" w:hAnsi="Times New Roman" w:eastAsia="仿宋_GB2312" w:cs="仿宋_GB2312"/>
          <w:color w:val="auto"/>
          <w:spacing wpsCustomData:val="-6" w:val="2"/>
          <w:sz w:val="32"/>
          <w:szCs w:val="32"/>
        </w:rPr>
        <w:t>奖学金</w:t>
      </w:r>
      <w:r>
        <w:rPr>
          <w:rFonts w:hint="eastAsia" w:cs="仿宋_GB2312"/>
          <w:color w:val="auto"/>
          <w:spacing wpsCustomData:val="-6" w:val="2"/>
          <w:sz w:val="32"/>
          <w:szCs w:val="32"/>
          <w:lang w:val="en-US" w:eastAsia="zh-CN"/>
        </w:rPr>
        <w:t>+</w:t>
      </w:r>
      <w:r>
        <w:rPr>
          <w:rFonts w:ascii="Times New Roman" w:hAnsi="Times New Roman" w:eastAsia="仿宋_GB2312" w:cs="仿宋_GB2312"/>
          <w:color w:val="auto"/>
          <w:spacing wpsCustomData:val="-6" w:val="2"/>
          <w:sz w:val="32"/>
          <w:szCs w:val="32"/>
        </w:rPr>
        <w:t>荣誉证书＋基础校</w:t>
      </w:r>
      <w:r>
        <w:rPr>
          <w:rFonts w:ascii="Times New Roman" w:hAnsi="Times New Roman" w:eastAsia="仿宋_GB2312" w:cs="仿宋_GB2312"/>
          <w:color w:val="auto"/>
          <w:spacing wpsCustomData:val="-6" w:val="-6"/>
          <w:sz w:val="32"/>
          <w:szCs w:val="32"/>
        </w:rPr>
        <w:t>庆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周边</w:t>
      </w:r>
    </w:p>
    <w:p w14:paraId="75A7186B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优秀奖（若干）：荣誉证书＋校庆纪念徽章</w:t>
      </w:r>
    </w:p>
    <w:p w14:paraId="769654BF">
      <w:pPr>
        <w:pStyle w:val="11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专项奖（各1名）：荣誉证书＋定制悬浮全息周边＋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闲鱼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校企实践机会</w:t>
      </w:r>
    </w:p>
    <w:p w14:paraId="24EEDA9D">
      <w:pPr>
        <w:pStyle w:val="11"/>
        <w:rPr>
          <w:rFonts w:hint="default" w:ascii="Times New Roman" w:hAnsi="Times New Roman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备注：所有参赛作品IP版权将授权给百年晓庄校庆活动。</w:t>
      </w:r>
    </w:p>
    <w:p w14:paraId="0004BDAD">
      <w:pPr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</w:p>
    <w:p w14:paraId="3A5A861C">
      <w:pPr>
        <w:pStyle w:val="11"/>
        <w:jc w:val="right"/>
        <w:rPr>
          <w:rFonts w:ascii="Times New Roman" w:hAnsi="Times New Roman" w:eastAsia="仿宋_GB2312" w:cs="仿宋_GB2312"/>
          <w:color w:val="0000FF"/>
          <w:sz w:val="32"/>
          <w:szCs w:val="32"/>
        </w:rPr>
      </w:pPr>
    </w:p>
    <w:p w14:paraId="6E8E1414">
      <w:pPr>
        <w:pStyle w:val="11"/>
        <w:jc w:val="right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大学生陶行知思想研究会</w:t>
      </w:r>
    </w:p>
    <w:p w14:paraId="5EF8CC7B">
      <w:pPr>
        <w:pStyle w:val="11"/>
        <w:jc w:val="right"/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仿宋_GB2312"/>
          <w:color w:val="auto"/>
          <w:sz w:val="32"/>
          <w:szCs w:val="32"/>
        </w:rPr>
        <w:t>陶行知研究院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代章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）</w:t>
      </w:r>
    </w:p>
    <w:p w14:paraId="5A6513DA">
      <w:pPr>
        <w:pStyle w:val="11"/>
        <w:jc w:val="right"/>
        <w:rPr>
          <w:rFonts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2026年4月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日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 xml:space="preserve"> </w:t>
      </w:r>
    </w:p>
    <w:p w14:paraId="5CE28E91">
      <w:pPr>
        <w:pStyle w:val="11"/>
        <w:bidi w:val="0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720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BB1B0">
    <w:pPr>
      <w:pStyle w:val="12"/>
    </w:pPr>
    <w:r>
      <w:rPr>
        <w:sz w:val="18"/>
      </w:rPr>
      <w:pict>
        <v:shape id="_x0000_s4097" o:spid="_x0000_s4097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16pt,0mm,16pt,0mm" style="mso-fit-shape-to-text:t;">
            <w:txbxContent>
              <w:p w14:paraId="1ED637D8">
                <w:pPr>
                  <w:pStyle w:val="12"/>
                  <w:rPr>
                    <w:rFonts w:ascii="宋体" w:hAnsi="宋体" w:eastAsia="宋体"/>
                    <w:sz w:val="28"/>
                  </w:rPr>
                </w:pPr>
                <w:r>
                  <w:rPr>
                    <w:rFonts w:ascii="宋体" w:hAnsi="宋体" w:eastAsia="宋体"/>
                    <w:sz w:val="28"/>
                  </w:rPr>
                  <w:t>—</w:t>
                </w:r>
                <w:r>
                  <w:rPr>
                    <w:rFonts w:ascii="宋体" w:hAnsi="宋体" w:eastAsia="宋体"/>
                    <w:sz w:val="24"/>
                  </w:rPr>
                  <w:t xml:space="preserve"> </w:t>
                </w:r>
                <w:r>
                  <w:rPr>
                    <w:rFonts w:ascii="宋体" w:hAnsi="宋体" w:eastAsia="宋体"/>
                    <w:sz w:val="28"/>
                  </w:rPr>
                  <w:fldChar w:fldCharType="begin"/>
                </w:r>
                <w:r>
                  <w:rPr>
                    <w:rFonts w:ascii="宋体" w:hAnsi="宋体" w:eastAsia="宋体"/>
                    <w:sz w:val="28"/>
                  </w:rPr>
                  <w:instrText xml:space="preserve"> PAGE  \* MERGEFORMAT </w:instrText>
                </w:r>
                <w:r>
                  <w:rPr>
                    <w:rFonts w:ascii="宋体" w:hAnsi="宋体" w:eastAsia="宋体"/>
                    <w:sz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</w:rPr>
                  <w:t>1</w:t>
                </w:r>
                <w:r>
                  <w:rPr>
                    <w:rFonts w:ascii="宋体" w:hAnsi="宋体" w:eastAsia="宋体"/>
                    <w:sz w:val="28"/>
                  </w:rPr>
                  <w:fldChar w:fldCharType="end"/>
                </w:r>
                <w:r>
                  <w:rPr>
                    <w:rFonts w:ascii="宋体" w:hAnsi="宋体" w:eastAsia="宋体"/>
                    <w:sz w:val="24"/>
                  </w:rPr>
                  <w:t xml:space="preserve"> </w:t>
                </w:r>
                <w:r>
                  <w:rPr>
                    <w:rFonts w:ascii="宋体" w:hAnsi="宋体" w:eastAsia="宋体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A9739">
    <w:pPr>
      <w:pStyle w:val="12"/>
    </w:pPr>
    <w:r>
      <w:rPr>
        <w:sz w:val="18"/>
      </w:rPr>
      <w:pict>
        <v:shape id="_x0000_s4098" o:spid="_x0000_s4098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16pt,0mm,16pt,0mm" style="mso-fit-shape-to-text:t;">
            <w:txbxContent>
              <w:p w14:paraId="5C1C181B">
                <w:pPr>
                  <w:pStyle w:val="12"/>
                  <w:rPr>
                    <w:rFonts w:ascii="宋体" w:hAnsi="宋体" w:eastAsia="宋体"/>
                    <w:sz w:val="28"/>
                  </w:rPr>
                </w:pPr>
                <w:r>
                  <w:rPr>
                    <w:rFonts w:ascii="宋体" w:hAnsi="宋体" w:eastAsia="宋体"/>
                    <w:sz w:val="28"/>
                  </w:rPr>
                  <w:t>—</w:t>
                </w:r>
                <w:r>
                  <w:rPr>
                    <w:rFonts w:ascii="宋体" w:hAnsi="宋体" w:eastAsia="宋体"/>
                    <w:sz w:val="24"/>
                  </w:rPr>
                  <w:t xml:space="preserve"> </w:t>
                </w:r>
                <w:r>
                  <w:rPr>
                    <w:rFonts w:ascii="宋体" w:hAnsi="宋体" w:eastAsia="宋体"/>
                    <w:sz w:val="28"/>
                  </w:rPr>
                  <w:fldChar w:fldCharType="begin"/>
                </w:r>
                <w:r>
                  <w:rPr>
                    <w:rFonts w:ascii="宋体" w:hAnsi="宋体" w:eastAsia="宋体"/>
                    <w:sz w:val="28"/>
                  </w:rPr>
                  <w:instrText xml:space="preserve"> PAGE  \* MERGEFORMAT </w:instrText>
                </w:r>
                <w:r>
                  <w:rPr>
                    <w:rFonts w:ascii="宋体" w:hAnsi="宋体" w:eastAsia="宋体"/>
                    <w:sz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</w:rPr>
                  <w:t>2</w:t>
                </w:r>
                <w:r>
                  <w:rPr>
                    <w:rFonts w:ascii="宋体" w:hAnsi="宋体" w:eastAsia="宋体"/>
                    <w:sz w:val="28"/>
                  </w:rPr>
                  <w:fldChar w:fldCharType="end"/>
                </w:r>
                <w:r>
                  <w:rPr>
                    <w:rFonts w:ascii="宋体" w:hAnsi="宋体" w:eastAsia="宋体"/>
                    <w:sz w:val="24"/>
                  </w:rPr>
                  <w:t xml:space="preserve"> </w:t>
                </w:r>
                <w:r>
                  <w:rPr>
                    <w:rFonts w:ascii="宋体" w:hAnsi="宋体" w:eastAsia="宋体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F7BC9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5996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evenAndOddHeaders w:val="1"/>
  <w:drawingGridHorizontalSpacing w:val="158"/>
  <w:drawingGridVerticalSpacing w:val="290"/>
  <w:displayHorizontalDrawingGridEvery w:val="2"/>
  <w:displayVerticalDrawingGridEvery w:val="2"/>
  <w:hdrShapeDefaults>
    <o:shapelayout v:ext="edit">
      <o:idmap v:ext="edit" data="3,4"/>
    </o:shapelayout>
  </w:hdrShapeDefaults>
  <w:compat>
    <w:useFELayout/>
    <w:splitPgBreakAndParaMark/>
    <w:compatSetting w:name="compatibilityMode" w:uri="http://schemas.microsoft.com/office/word" w:val="12"/>
  </w:compat>
  <w:rsids>
    <w:rsidRoot w:val="00000000"/>
    <w:rsid w:val="03630182"/>
    <w:rsid w:val="19366FA9"/>
    <w:rsid w:val="1C9427E0"/>
    <w:rsid w:val="27E00F2F"/>
    <w:rsid w:val="2A542DA5"/>
    <w:rsid w:val="2BE710A1"/>
    <w:rsid w:val="31204742"/>
    <w:rsid w:val="350A1C9D"/>
    <w:rsid w:val="491C63D6"/>
    <w:rsid w:val="49944D18"/>
    <w:rsid w:val="4BC93EC7"/>
    <w:rsid w:val="5F7A370F"/>
    <w:rsid w:val="63396160"/>
    <w:rsid w:val="67D87514"/>
    <w:rsid w:val="6C004D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link w:val="19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8">
    <w:name w:val="主送对象"/>
    <w:next w:val="1"/>
    <w:qFormat/>
    <w:uiPriority w:val="0"/>
    <w:pPr>
      <w:spacing w:line="560" w:lineRule="exact"/>
    </w:pPr>
    <w:rPr>
      <w:rFonts w:ascii="Times New Roman" w:hAnsi="Times New Roman" w:eastAsia="仿宋_GB2312" w:cs="仿宋_GB2312"/>
      <w:sz w:val="32"/>
      <w:szCs w:val="32"/>
    </w:rPr>
  </w:style>
  <w:style w:type="character" w:customStyle="1" w:styleId="19">
    <w:name w:val="标题 1 Char"/>
    <w:link w:val="2"/>
    <w:qFormat/>
    <w:uiPriority w:val="0"/>
    <w:rPr>
      <w:rFonts w:ascii="黑体" w:hAnsi="黑体" w:eastAsia="黑体" w:cs="黑体"/>
      <w:kern w:val="44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1118</Words>
  <Characters>1181</Characters>
  <TotalTime>15</TotalTime>
  <ScaleCrop>false</ScaleCrop>
  <LinksUpToDate>false</LinksUpToDate>
  <CharactersWithSpaces>1186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2026-04-01T13:29:00Z</dcterms:created>
  <dc:creator>11967</dc:creator>
  <cp:lastModifiedBy>浩克1415274715</cp:lastModifiedBy>
  <dcterms:modified xsi:type="dcterms:W3CDTF">2026-04-03T09:34:23Z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eyJoZGlkIjoiYjNhYTQ4N2EyYTBiOGY4NWMzZWE4NjE4ZDc0OTVlYjAiLCJ1c2VySWQiOiIyNDQ3NDA4OCJ9</vt:lpwstr>
  </property>
  <property fmtid="{D5CDD505-2E9C-101B-9397-08002B2CF9AE}" pid="3" name="KSOProductBuildVer">
    <vt:lpwstr>2052-12.1.0.25225</vt:lpwstr>
  </property>
  <property fmtid="{D5CDD505-2E9C-101B-9397-08002B2CF9AE}" pid="4" name="ICV">
    <vt:lpwstr>1923DEF07A684ADEBE6239168A8FFC59_13</vt:lpwstr>
  </property>
</Properties>
</file>