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b/>
          <w:sz w:val="44"/>
        </w:rPr>
        <w:t>2021</w:t>
      </w:r>
      <w:r>
        <w:rPr>
          <w:rFonts w:eastAsia="方正小标宋简体"/>
          <w:sz w:val="44"/>
        </w:rPr>
        <w:t>年江苏省教师国家通用语言文字</w:t>
      </w:r>
    </w:p>
    <w:p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教学能力大赛评价标准</w:t>
      </w:r>
    </w:p>
    <w:bookmarkEnd w:id="0"/>
    <w:p>
      <w:pPr>
        <w:rPr>
          <w:rFonts w:eastAsia="方正小标宋简体"/>
          <w:sz w:val="44"/>
        </w:rPr>
      </w:pPr>
    </w:p>
    <w:tbl>
      <w:tblPr>
        <w:tblStyle w:val="2"/>
        <w:tblW w:w="89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05"/>
        <w:gridCol w:w="6096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2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评分项目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609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2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评分要点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教师素质</w:t>
            </w:r>
          </w:p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（15分）</w:t>
            </w:r>
          </w:p>
        </w:tc>
        <w:tc>
          <w:tcPr>
            <w:tcW w:w="80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09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衣着得体，端庄大方；教态亲切自然；情绪饱满，有感染力和亲和力。</w:t>
            </w:r>
          </w:p>
        </w:tc>
        <w:tc>
          <w:tcPr>
            <w:tcW w:w="82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普通话读音准确，语言规范流畅；语速适中、发音清晰、声音洪亮；诗词诵读能力较强，能以声音体现诗词韵律之美和准确表达意境者为佳。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板书书写规范、优美。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语言基本功、教学基本功扎实；古诗词、传统经典知识掌握全面；教学技巧娴熟；课堂控制能力强。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教学设计</w:t>
            </w:r>
          </w:p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（10分）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教学目标明确清晰，符合诗词教学要求和学生实际水平。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课堂容量和教学内容难易度适中，循序渐进，主次分明，能够照顾学生的个体差异。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合理设计板书，恰当运用多媒体、投影仪、教学系统等现代教学手段，文、图、表、声、像结合。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教学内容</w:t>
            </w:r>
          </w:p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（30分）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诗词的背景介绍、内容讲解、鉴赏分析等应做到知识准确、条理清晰、详略得当。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适当输入、摄入、内化和输出可理解性诗词和语言知识，示范举例恰当。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对诗词思想内涵的阐释，应当准确，在文本解析的基础上，结合所教学科的知识进行拓展。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对诗词艺术特色的分析，应符合诗词本身的审美规律和艺术风格。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教学融合传统文化和党史元素，有科学性、时代性，融思想教育于教学之中。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教学方法</w:t>
            </w:r>
          </w:p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（15分）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灵活使用演绎、归纳、比较等教法和各种教学技巧；启发学生记忆、思考、理解和应用。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课堂结构严谨，时间安排、教学步骤和节奏合理。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鼓励积极发挥多媒体、信息化等现代技术手段，充分展示创新化课堂教学效果。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教学效果</w:t>
            </w:r>
          </w:p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（20分）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备课充分、讲授精熟；授课和课堂用语差错率低；指点清楚，完成既定教学任务，达到预期教学目标。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教学过程深入浅出，精彩有趣，有利于提升学生学习的积极性和主动性。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发挥教师的主导作用，体现学生的主体地位；各层次学生均学有所得，教学效果好。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技术规范</w:t>
            </w:r>
          </w:p>
          <w:p>
            <w:pPr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（10分）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视频时间长度符合大赛通知要求（5-8分钟），超时1分钟以内不扣分；超时1-2分钟，扣1分；超时2分钟以上，扣2分；超时3分钟以上，本评分项不得分。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视频画质清晰，图像稳定，声音清楚无杂音，声音与画面同步。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作品包含微课视频、教学设计（含教学课件）。内容不完整本评分项不得分。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</w:tbl>
    <w:p>
      <w:pPr>
        <w:rPr>
          <w:rFonts w:eastAsia="方正小标宋简体"/>
          <w:sz w:val="44"/>
        </w:rPr>
      </w:pPr>
    </w:p>
    <w:p>
      <w:pPr>
        <w:rPr>
          <w:rFonts w:eastAsia="方正小标宋简体"/>
          <w:sz w:val="44"/>
        </w:rPr>
      </w:pPr>
    </w:p>
    <w:p>
      <w:r>
        <w:rPr>
          <w:rFonts w:eastAsia="方正小标宋简体"/>
          <w:sz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2021-06-01T06:26:39Z</dcterms:created>
  <dc:creator>a</dc:creator>
  <cp:lastModifiedBy>楽しい哲</cp:lastModifiedBy>
  <dcterms:modified xsi:type="dcterms:W3CDTF">2021-06-01T06:26:51Z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09C7A96BF6AF48FF837AD9810BCF25EE</vt:lpwstr>
  </property>
</Properties>
</file>