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line="480" w:lineRule="exac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lang w:val="zh-TW" w:eastAsia="zh-TW"/>
        </w:rPr>
        <w:t>附件</w:t>
      </w:r>
      <w:r>
        <w:rPr>
          <w:rFonts w:ascii="微软雅黑" w:hAnsi="微软雅黑" w:eastAsia="微软雅黑" w:cs="微软雅黑"/>
          <w:sz w:val="28"/>
          <w:szCs w:val="28"/>
        </w:rPr>
        <w:t>2</w:t>
      </w:r>
      <w:r>
        <w:rPr>
          <w:rFonts w:ascii="微软雅黑" w:hAnsi="微软雅黑" w:eastAsia="微软雅黑" w:cs="微软雅黑"/>
          <w:sz w:val="28"/>
          <w:szCs w:val="28"/>
          <w:lang w:val="zh-TW" w:eastAsia="zh-TW"/>
        </w:rPr>
        <w:t xml:space="preserve">：    </w:t>
      </w:r>
    </w:p>
    <w:p>
      <w:pPr>
        <w:pStyle w:val="10"/>
        <w:widowControl/>
        <w:spacing w:line="480" w:lineRule="exac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20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</w:t>
      </w:r>
      <w:r>
        <w:rPr>
          <w:rFonts w:ascii="微软雅黑" w:hAnsi="微软雅黑" w:eastAsia="微软雅黑" w:cs="微软雅黑"/>
          <w:sz w:val="28"/>
          <w:szCs w:val="28"/>
          <w:lang w:val="zh-TW" w:eastAsia="zh-TW"/>
        </w:rPr>
        <w:t>级普通文、理科学生高考录取成绩标准化换算办法</w:t>
      </w:r>
    </w:p>
    <w:p>
      <w:pPr>
        <w:pStyle w:val="10"/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10"/>
        <w:widowControl/>
        <w:adjustRightInd w:val="0"/>
        <w:snapToGrid w:val="0"/>
        <w:spacing w:line="360" w:lineRule="auto"/>
        <w:ind w:firstLine="560"/>
        <w:jc w:val="left"/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</w:pP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20</w:t>
      </w:r>
      <w:r>
        <w:rPr>
          <w:rFonts w:hint="eastAsia" w:cs="Arial Unicode MS" w:asciiTheme="minorEastAsia" w:hAnsiTheme="minorEastAsia" w:eastAsiaTheme="minorEastAsia"/>
          <w:kern w:val="0"/>
          <w:sz w:val="24"/>
          <w:szCs w:val="24"/>
          <w:lang w:val="en-US" w:eastAsia="zh-CN"/>
        </w:rPr>
        <w:t>20</w:t>
      </w: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年我校面向江苏、辽宁、贵州等2</w:t>
      </w:r>
      <w:r>
        <w:rPr>
          <w:rFonts w:hint="eastAsia" w:cs="Arial Unicode MS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个省（</w:t>
      </w:r>
      <w:r>
        <w:rPr>
          <w:rFonts w:hint="eastAsia" w:cs="Arial Unicode MS" w:asciiTheme="minorEastAsia" w:hAnsiTheme="minorEastAsia" w:eastAsiaTheme="minorEastAsia"/>
          <w:kern w:val="0"/>
          <w:sz w:val="24"/>
          <w:szCs w:val="24"/>
          <w:lang w:val="zh-TW"/>
        </w:rPr>
        <w:t>直辖市、</w:t>
      </w: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自治区）招收普通文、理科学生。由于各省份高考总分、各批次分数线以及我校在当地录取分数线等各不相同，为消除地区差异使各省学生的录取成绩具有可比性，学校对2</w:t>
      </w:r>
      <w:r>
        <w:rPr>
          <w:rFonts w:hint="eastAsia" w:cs="Arial Unicode MS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个省（</w:t>
      </w:r>
      <w:r>
        <w:rPr>
          <w:rFonts w:hint="eastAsia" w:cs="Arial Unicode MS" w:asciiTheme="minorEastAsia" w:hAnsiTheme="minorEastAsia" w:eastAsiaTheme="minorEastAsia"/>
          <w:kern w:val="0"/>
          <w:sz w:val="24"/>
          <w:szCs w:val="24"/>
          <w:lang w:val="zh-TW"/>
        </w:rPr>
        <w:t>直辖市、</w:t>
      </w: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自治区）的高考录取成绩进行标准化换算。</w:t>
      </w:r>
    </w:p>
    <w:p>
      <w:pPr>
        <w:pStyle w:val="10"/>
        <w:widowControl/>
        <w:adjustRightInd w:val="0"/>
        <w:snapToGrid w:val="0"/>
        <w:spacing w:line="360" w:lineRule="auto"/>
        <w:ind w:firstLine="560"/>
        <w:jc w:val="left"/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</w:pP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具体换算方法如下：</w:t>
      </w:r>
      <w:bookmarkStart w:id="0" w:name="_GoBack"/>
      <w:bookmarkEnd w:id="0"/>
    </w:p>
    <w:p>
      <w:pPr>
        <w:pStyle w:val="10"/>
        <w:adjustRightInd w:val="0"/>
        <w:snapToGrid w:val="0"/>
        <w:spacing w:line="360" w:lineRule="auto"/>
        <w:ind w:firstLine="560"/>
        <w:jc w:val="left"/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</w:pP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将所有达到各省本科投档线视作获得基本分（60分），将各省高考满分视作100分，计算出学生的标准化成绩，精确到小数点后两位。</w:t>
      </w:r>
    </w:p>
    <w:p>
      <w:pPr>
        <w:pStyle w:val="10"/>
        <w:adjustRightInd w:val="0"/>
        <w:snapToGrid w:val="0"/>
        <w:spacing w:line="360" w:lineRule="auto"/>
        <w:ind w:firstLine="560"/>
        <w:jc w:val="left"/>
        <w:rPr>
          <w:rFonts w:cs="Arial Unicode MS" w:asciiTheme="minorEastAsia" w:hAnsiTheme="minorEastAsia" w:eastAsiaTheme="minorEastAsia"/>
          <w:kern w:val="0"/>
          <w:sz w:val="24"/>
          <w:szCs w:val="24"/>
          <w:lang w:val="zh-TW"/>
        </w:rPr>
      </w:pP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计算公式如下：</w:t>
      </w:r>
    </w:p>
    <w:p>
      <w:pPr>
        <w:wordWrap w:val="0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Y=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60+40*（</w:t>
      </w:r>
      <w:r>
        <w:rPr>
          <w:rFonts w:ascii="仿宋" w:hAnsi="仿宋" w:eastAsia="仿宋" w:cs="仿宋"/>
          <w:position w:val="-24"/>
          <w:sz w:val="28"/>
          <w:szCs w:val="28"/>
        </w:rPr>
        <w:object>
          <v:shape id="_x0000_i1025" o:spt="75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pStyle w:val="10"/>
        <w:widowControl/>
        <w:adjustRightInd w:val="0"/>
        <w:snapToGrid w:val="0"/>
        <w:spacing w:line="360" w:lineRule="auto"/>
        <w:ind w:firstLine="560"/>
        <w:jc w:val="left"/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</w:pP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Y=学生标准化后成绩</w:t>
      </w:r>
    </w:p>
    <w:p>
      <w:pPr>
        <w:pStyle w:val="10"/>
        <w:widowControl/>
        <w:adjustRightInd w:val="0"/>
        <w:snapToGrid w:val="0"/>
        <w:spacing w:line="360" w:lineRule="auto"/>
        <w:ind w:firstLine="525"/>
        <w:jc w:val="left"/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</w:pPr>
      <w:r>
        <w:rPr>
          <w:rFonts w:cs="Arial Unicode MS" w:asciiTheme="minorEastAsia" w:hAnsiTheme="minorEastAsia" w:eastAsiaTheme="minorEastAsia"/>
          <w:kern w:val="0"/>
          <w:sz w:val="24"/>
          <w:szCs w:val="24"/>
        </w:rPr>
        <w:drawing>
          <wp:inline distT="0" distB="0" distL="0" distR="0">
            <wp:extent cx="177165" cy="165100"/>
            <wp:effectExtent l="0" t="0" r="0" b="0"/>
            <wp:docPr id="107374182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65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=学生高考录取成绩</w:t>
      </w:r>
    </w:p>
    <w:p>
      <w:pPr>
        <w:pStyle w:val="10"/>
        <w:widowControl/>
        <w:adjustRightInd w:val="0"/>
        <w:snapToGrid w:val="0"/>
        <w:spacing w:line="360" w:lineRule="auto"/>
        <w:ind w:firstLine="525"/>
        <w:jc w:val="left"/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</w:pPr>
      <w:r>
        <w:rPr>
          <w:rFonts w:cs="Arial Unicode MS" w:asciiTheme="minorEastAsia" w:hAnsiTheme="minorEastAsia" w:eastAsiaTheme="minorEastAsia"/>
          <w:kern w:val="0"/>
          <w:sz w:val="24"/>
          <w:szCs w:val="24"/>
        </w:rPr>
        <w:drawing>
          <wp:inline distT="0" distB="0" distL="0" distR="0">
            <wp:extent cx="228600" cy="165100"/>
            <wp:effectExtent l="0" t="0" r="0" b="0"/>
            <wp:docPr id="1073741827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5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=各省本科批次投档线</w:t>
      </w:r>
    </w:p>
    <w:p>
      <w:pPr>
        <w:pStyle w:val="10"/>
        <w:widowControl/>
        <w:adjustRightInd w:val="0"/>
        <w:snapToGrid w:val="0"/>
        <w:spacing w:line="360" w:lineRule="auto"/>
        <w:ind w:firstLine="525"/>
        <w:jc w:val="left"/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</w:pPr>
      <w:r>
        <w:rPr>
          <w:rFonts w:cs="Arial Unicode MS" w:asciiTheme="minorEastAsia" w:hAnsiTheme="minorEastAsia" w:eastAsiaTheme="minorEastAsia"/>
          <w:kern w:val="0"/>
          <w:sz w:val="24"/>
          <w:szCs w:val="24"/>
        </w:rPr>
        <w:drawing>
          <wp:inline distT="0" distB="0" distL="0" distR="0">
            <wp:extent cx="251460" cy="168275"/>
            <wp:effectExtent l="0" t="0" r="0" b="0"/>
            <wp:docPr id="1073741828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68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cs="Arial Unicode MS" w:asciiTheme="minorEastAsia" w:hAnsiTheme="minorEastAsia" w:eastAsiaTheme="minorEastAsia"/>
          <w:kern w:val="0"/>
          <w:sz w:val="24"/>
          <w:szCs w:val="24"/>
          <w:lang w:val="zh-TW" w:eastAsia="zh-TW"/>
        </w:rPr>
        <w:t>=各省高考总分</w:t>
      </w:r>
    </w:p>
    <w:sectPr>
      <w:footerReference r:id="rId3" w:type="default"/>
      <w:pgSz w:w="11900" w:h="16840"/>
      <w:pgMar w:top="1134" w:right="1134" w:bottom="1134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225639"/>
    <w:rsid w:val="0006126B"/>
    <w:rsid w:val="000639CD"/>
    <w:rsid w:val="00225639"/>
    <w:rsid w:val="006F58BF"/>
    <w:rsid w:val="008166B5"/>
    <w:rsid w:val="00AC33B5"/>
    <w:rsid w:val="00AF7D5A"/>
    <w:rsid w:val="00CC25EE"/>
    <w:rsid w:val="00E30A47"/>
    <w:rsid w:val="00EC07BB"/>
    <w:rsid w:val="00F5334D"/>
    <w:rsid w:val="3AF16A82"/>
    <w:rsid w:val="406B5796"/>
    <w:rsid w:val="5BE3070B"/>
    <w:rsid w:val="73D90856"/>
    <w:rsid w:val="7844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Calibri" w:cs="Calibri"/>
      <w:color w:val="000000"/>
      <w:kern w:val="2"/>
      <w:sz w:val="18"/>
      <w:szCs w:val="18"/>
      <w:u w:color="000000"/>
      <w:lang w:val="en-US" w:eastAsia="zh-CN" w:bidi="ar-SA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  <w:lang w:eastAsia="en-US"/>
    </w:rPr>
  </w:style>
  <w:style w:type="character" w:customStyle="1" w:styleId="12">
    <w:name w:val="页眉 字符"/>
    <w:basedOn w:val="6"/>
    <w:link w:val="4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2017-10-13T03:18:00Z</dcterms:created>
  <dc:creator>Administrator</dc:creator>
  <cp:lastModifiedBy>zenlas</cp:lastModifiedBy>
  <dcterms:modified xsi:type="dcterms:W3CDTF">2020-11-02T08:26:28Z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