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ascii="仿宋" w:hAnsi="仿宋" w:eastAsia="仿宋" w:cs="仿宋"/>
          <w:b/>
          <w:sz w:val="36"/>
          <w:szCs w:val="36"/>
        </w:rPr>
      </w:pPr>
      <w:r>
        <w:rPr>
          <w:rFonts w:hint="eastAsia" w:ascii="仿宋" w:hAnsi="仿宋" w:eastAsia="仿宋" w:cs="仿宋"/>
          <w:b/>
          <w:sz w:val="36"/>
          <w:szCs w:val="36"/>
        </w:rPr>
        <w:t>关于组织实施“正大杯”第十三届全国大学生</w:t>
      </w:r>
    </w:p>
    <w:p>
      <w:pPr>
        <w:spacing w:before="156" w:beforeLines="50" w:line="360" w:lineRule="auto"/>
        <w:jc w:val="center"/>
        <w:rPr>
          <w:rFonts w:ascii="仿宋" w:hAnsi="仿宋" w:eastAsia="仿宋" w:cs="仿宋"/>
          <w:b/>
          <w:sz w:val="36"/>
          <w:szCs w:val="36"/>
        </w:rPr>
      </w:pPr>
      <w:r>
        <w:rPr>
          <w:rFonts w:hint="eastAsia" w:ascii="仿宋" w:hAnsi="仿宋" w:eastAsia="仿宋" w:cs="仿宋"/>
          <w:b/>
          <w:sz w:val="36"/>
          <w:szCs w:val="36"/>
        </w:rPr>
        <w:t>市场调查与分析大赛江苏省选拔赛的通知</w:t>
      </w:r>
    </w:p>
    <w:p>
      <w:pPr>
        <w:spacing w:before="156" w:beforeLines="50" w:line="360" w:lineRule="auto"/>
        <w:jc w:val="center"/>
        <w:rPr>
          <w:rFonts w:ascii="仿宋" w:hAnsi="仿宋" w:eastAsia="仿宋" w:cs="仿宋"/>
          <w:color w:val="000000"/>
          <w:szCs w:val="21"/>
        </w:rPr>
      </w:pPr>
      <w:r>
        <w:rPr>
          <w:rFonts w:hint="eastAsia" w:ascii="仿宋" w:hAnsi="仿宋" w:eastAsia="仿宋" w:cs="仿宋"/>
          <w:b/>
          <w:sz w:val="36"/>
          <w:szCs w:val="36"/>
        </w:rPr>
        <w:t>（本科组）</w:t>
      </w:r>
    </w:p>
    <w:p>
      <w:pPr>
        <w:spacing w:before="156" w:beforeLines="50" w:line="460" w:lineRule="exact"/>
        <w:rPr>
          <w:rFonts w:ascii="仿宋" w:hAnsi="仿宋" w:eastAsia="仿宋" w:cs="仿宋"/>
          <w:sz w:val="32"/>
          <w:szCs w:val="32"/>
        </w:rPr>
      </w:pPr>
      <w:r>
        <w:rPr>
          <w:rFonts w:hint="eastAsia" w:ascii="仿宋" w:hAnsi="仿宋" w:eastAsia="仿宋" w:cs="仿宋"/>
          <w:sz w:val="32"/>
          <w:szCs w:val="32"/>
        </w:rPr>
        <w:t>各有关参赛院校：</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由中国商业统计学会主办的“正大杯第十三届全国大学生市场调查与分析大赛江苏省选拔赛（本科组）”由南京信息工程大学承办。根据大赛组委会《“正大杯”第十三届全国大学生市场调查与分析大赛校赛及企业命题赛的通知（本科组）》精神（附件1），现将江苏省选拔赛（本科组）组织实施的有关事宜通知如下：</w:t>
      </w:r>
    </w:p>
    <w:p>
      <w:pPr>
        <w:keepNext w:val="0"/>
        <w:keepLines w:val="0"/>
        <w:pageBreakBefore w:val="0"/>
        <w:widowControl w:val="0"/>
        <w:numPr>
          <w:ilvl w:val="0"/>
          <w:numId w:val="0"/>
        </w:numPr>
        <w:kinsoku/>
        <w:wordWrap/>
        <w:overflowPunct/>
        <w:topLinePunct w:val="0"/>
        <w:autoSpaceDE/>
        <w:autoSpaceDN/>
        <w:bidi w:val="0"/>
        <w:adjustRightInd/>
        <w:snapToGrid/>
        <w:spacing w:before="156" w:beforeLines="50" w:line="480" w:lineRule="exact"/>
        <w:ind w:firstLine="643" w:firstLineChars="200"/>
        <w:textAlignment w:val="auto"/>
        <w:rPr>
          <w:rFonts w:ascii="仿宋" w:hAnsi="仿宋" w:eastAsia="仿宋" w:cs="仿宋"/>
          <w:sz w:val="32"/>
          <w:szCs w:val="32"/>
        </w:rPr>
      </w:pPr>
      <w:r>
        <w:rPr>
          <w:rFonts w:hint="eastAsia" w:ascii="仿宋" w:hAnsi="仿宋" w:eastAsia="仿宋" w:cs="仿宋"/>
          <w:b/>
          <w:sz w:val="32"/>
          <w:szCs w:val="32"/>
          <w:lang w:val="en-US" w:eastAsia="zh-CN"/>
        </w:rPr>
        <w:t>一、</w:t>
      </w:r>
      <w:r>
        <w:rPr>
          <w:rFonts w:hint="eastAsia" w:ascii="仿宋" w:hAnsi="仿宋" w:eastAsia="仿宋" w:cs="仿宋"/>
          <w:b/>
          <w:sz w:val="32"/>
          <w:szCs w:val="32"/>
        </w:rPr>
        <w:t>赛事安排</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江苏省选拔赛（本科组）分为两个阶段进行。第一阶段是</w:t>
      </w:r>
      <w:r>
        <w:rPr>
          <w:rFonts w:hint="eastAsia" w:ascii="仿宋" w:hAnsi="仿宋" w:eastAsia="仿宋" w:cs="仿宋"/>
          <w:color w:val="FF0000"/>
          <w:sz w:val="32"/>
          <w:szCs w:val="32"/>
        </w:rPr>
        <w:t>线上报告评审</w:t>
      </w:r>
      <w:r>
        <w:rPr>
          <w:rFonts w:hint="eastAsia" w:ascii="仿宋" w:hAnsi="仿宋" w:eastAsia="仿宋" w:cs="仿宋"/>
          <w:sz w:val="32"/>
          <w:szCs w:val="32"/>
        </w:rPr>
        <w:t>，第二阶段是</w:t>
      </w:r>
      <w:r>
        <w:rPr>
          <w:rFonts w:hint="eastAsia" w:ascii="仿宋" w:hAnsi="仿宋" w:eastAsia="仿宋" w:cs="仿宋"/>
          <w:color w:val="FF0000"/>
          <w:sz w:val="32"/>
          <w:szCs w:val="32"/>
        </w:rPr>
        <w:t>线下团队答辩</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3" w:firstLineChars="200"/>
        <w:textAlignment w:val="auto"/>
        <w:rPr>
          <w:rFonts w:ascii="仿宋" w:hAnsi="仿宋" w:eastAsia="仿宋" w:cs="仿宋"/>
          <w:sz w:val="32"/>
          <w:szCs w:val="32"/>
        </w:rPr>
      </w:pP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一</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rPr>
        <w:t>线上报告评审：</w:t>
      </w:r>
      <w:r>
        <w:rPr>
          <w:rFonts w:hint="eastAsia" w:ascii="仿宋" w:hAnsi="仿宋" w:eastAsia="仿宋" w:cs="仿宋"/>
          <w:sz w:val="32"/>
          <w:szCs w:val="32"/>
        </w:rPr>
        <w:t>产生省级奖项及国赛三等奖，并选拔优秀团队参加线下团队答辩。参赛团队须于</w:t>
      </w:r>
      <w:r>
        <w:rPr>
          <w:rFonts w:hint="eastAsia" w:ascii="仿宋" w:hAnsi="仿宋" w:eastAsia="仿宋" w:cs="仿宋"/>
          <w:color w:val="FF0000"/>
          <w:sz w:val="32"/>
          <w:szCs w:val="32"/>
        </w:rPr>
        <w:t>4月</w:t>
      </w:r>
      <w:r>
        <w:rPr>
          <w:rFonts w:hint="eastAsia" w:ascii="仿宋" w:hAnsi="仿宋" w:eastAsia="仿宋" w:cs="仿宋"/>
          <w:color w:val="FF0000"/>
          <w:sz w:val="32"/>
          <w:szCs w:val="32"/>
          <w:lang w:val="en-US" w:eastAsia="zh-CN"/>
        </w:rPr>
        <w:t>5</w:t>
      </w:r>
      <w:r>
        <w:rPr>
          <w:rFonts w:hint="eastAsia" w:ascii="仿宋" w:hAnsi="仿宋" w:eastAsia="仿宋" w:cs="仿宋"/>
          <w:color w:val="FF0000"/>
          <w:sz w:val="32"/>
          <w:szCs w:val="32"/>
        </w:rPr>
        <w:t>日12:00</w:t>
      </w:r>
      <w:r>
        <w:rPr>
          <w:rFonts w:hint="eastAsia" w:ascii="仿宋" w:hAnsi="仿宋" w:eastAsia="仿宋" w:cs="仿宋"/>
          <w:sz w:val="32"/>
          <w:szCs w:val="32"/>
        </w:rPr>
        <w:t>前，向省赛组委会提交团队信息、竞赛作品和参赛承诺书，逾期未提交视同弃赛。由省赛组委会组织专家按大赛组委会制定的评分标准（附件</w:t>
      </w:r>
      <w:r>
        <w:rPr>
          <w:rFonts w:ascii="仿宋" w:hAnsi="仿宋" w:eastAsia="仿宋" w:cs="仿宋"/>
          <w:sz w:val="32"/>
          <w:szCs w:val="32"/>
        </w:rPr>
        <w:t>7</w:t>
      </w:r>
      <w:r>
        <w:rPr>
          <w:rFonts w:hint="eastAsia" w:ascii="仿宋" w:hAnsi="仿宋" w:eastAsia="仿宋" w:cs="仿宋"/>
          <w:sz w:val="32"/>
          <w:szCs w:val="32"/>
        </w:rPr>
        <w:t>）进行盲评，选出</w:t>
      </w:r>
      <w:r>
        <w:rPr>
          <w:rFonts w:hint="eastAsia" w:ascii="仿宋" w:hAnsi="仿宋" w:eastAsia="仿宋" w:cs="仿宋"/>
          <w:color w:val="FF0000"/>
          <w:sz w:val="32"/>
          <w:szCs w:val="32"/>
        </w:rPr>
        <w:t>60</w:t>
      </w:r>
      <w:r>
        <w:rPr>
          <w:rFonts w:hint="eastAsia" w:ascii="仿宋" w:hAnsi="仿宋" w:eastAsia="仿宋" w:cs="仿宋"/>
          <w:sz w:val="32"/>
          <w:szCs w:val="32"/>
        </w:rPr>
        <w:t>支团队参加线下团队答辩。</w:t>
      </w:r>
    </w:p>
    <w:p>
      <w:pPr>
        <w:keepNext w:val="0"/>
        <w:keepLines w:val="0"/>
        <w:pageBreakBefore w:val="0"/>
        <w:widowControl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color w:val="auto"/>
          <w:sz w:val="32"/>
          <w:szCs w:val="32"/>
        </w:rPr>
      </w:pPr>
      <w:r>
        <w:rPr>
          <w:rFonts w:hint="eastAsia" w:ascii="仿宋" w:hAnsi="仿宋" w:eastAsia="仿宋" w:cs="仿宋"/>
          <w:sz w:val="32"/>
          <w:szCs w:val="32"/>
        </w:rPr>
        <w:t>参赛注册及作品提交方式：由学生团队</w:t>
      </w:r>
      <w:r>
        <w:rPr>
          <w:rFonts w:hint="eastAsia" w:ascii="仿宋" w:hAnsi="仿宋" w:eastAsia="仿宋" w:cs="仿宋"/>
          <w:color w:val="FF0000"/>
          <w:sz w:val="32"/>
          <w:szCs w:val="32"/>
        </w:rPr>
        <w:t>队长</w:t>
      </w:r>
      <w:r>
        <w:rPr>
          <w:rFonts w:hint="eastAsia" w:ascii="仿宋" w:hAnsi="仿宋" w:eastAsia="仿宋" w:cs="仿宋"/>
          <w:sz w:val="32"/>
          <w:szCs w:val="32"/>
        </w:rPr>
        <w:t>在官网（网址：http://www.china-cssc.org/list-56-1.html）点击</w:t>
      </w:r>
      <w:r>
        <w:rPr>
          <w:rFonts w:hint="eastAsia" w:ascii="仿宋" w:hAnsi="仿宋" w:eastAsia="仿宋" w:cs="仿宋"/>
          <w:b/>
          <w:bCs/>
          <w:sz w:val="32"/>
          <w:szCs w:val="32"/>
        </w:rPr>
        <w:t>“团队实践赛”</w:t>
      </w:r>
      <w:r>
        <w:rPr>
          <w:rFonts w:hint="eastAsia" w:ascii="仿宋" w:hAnsi="仿宋" w:eastAsia="仿宋" w:cs="仿宋"/>
          <w:sz w:val="32"/>
          <w:szCs w:val="32"/>
        </w:rPr>
        <w:t>→</w:t>
      </w:r>
      <w:r>
        <w:rPr>
          <w:rFonts w:hint="eastAsia" w:ascii="仿宋" w:hAnsi="仿宋" w:eastAsia="仿宋" w:cs="仿宋"/>
          <w:b/>
          <w:bCs/>
          <w:sz w:val="32"/>
          <w:szCs w:val="32"/>
        </w:rPr>
        <w:t>“团队登录入口”</w:t>
      </w:r>
      <w:r>
        <w:rPr>
          <w:rFonts w:hint="eastAsia" w:ascii="仿宋" w:hAnsi="仿宋" w:eastAsia="仿宋" w:cs="仿宋"/>
          <w:sz w:val="32"/>
          <w:szCs w:val="32"/>
        </w:rPr>
        <w:t>→</w:t>
      </w:r>
      <w:r>
        <w:rPr>
          <w:rFonts w:hint="eastAsia" w:ascii="仿宋" w:hAnsi="仿宋" w:eastAsia="仿宋" w:cs="仿宋"/>
          <w:b/>
          <w:bCs/>
          <w:sz w:val="32"/>
          <w:szCs w:val="32"/>
        </w:rPr>
        <w:t>“本科组省赛”，</w:t>
      </w:r>
      <w:r>
        <w:rPr>
          <w:rFonts w:hint="eastAsia" w:ascii="仿宋" w:hAnsi="仿宋" w:eastAsia="仿宋" w:cs="仿宋"/>
          <w:color w:val="000000"/>
          <w:sz w:val="32"/>
          <w:szCs w:val="32"/>
        </w:rPr>
        <w:t>进行</w:t>
      </w:r>
      <w:r>
        <w:rPr>
          <w:rFonts w:hint="eastAsia" w:ascii="仿宋" w:hAnsi="仿宋" w:eastAsia="仿宋" w:cs="仿宋"/>
          <w:color w:val="FF0000"/>
          <w:sz w:val="32"/>
          <w:szCs w:val="32"/>
        </w:rPr>
        <w:t>系统注册</w:t>
      </w:r>
      <w:r>
        <w:rPr>
          <w:rFonts w:hint="eastAsia" w:ascii="仿宋" w:hAnsi="仿宋" w:eastAsia="仿宋" w:cs="仿宋"/>
          <w:sz w:val="32"/>
          <w:szCs w:val="32"/>
        </w:rPr>
        <w:t>并登录，依次</w:t>
      </w:r>
      <w:r>
        <w:rPr>
          <w:rFonts w:hint="eastAsia" w:ascii="仿宋" w:hAnsi="仿宋" w:eastAsia="仿宋" w:cs="仿宋"/>
          <w:color w:val="FF0000"/>
          <w:sz w:val="32"/>
          <w:szCs w:val="32"/>
        </w:rPr>
        <w:t>填写并提交</w:t>
      </w:r>
      <w:r>
        <w:rPr>
          <w:rFonts w:hint="eastAsia" w:ascii="仿宋" w:hAnsi="仿宋" w:eastAsia="仿宋" w:cs="仿宋"/>
          <w:sz w:val="32"/>
          <w:szCs w:val="32"/>
        </w:rPr>
        <w:t>团队信息、对应</w:t>
      </w:r>
      <w:r>
        <w:rPr>
          <w:rFonts w:hint="eastAsia" w:ascii="仿宋" w:hAnsi="仿宋" w:eastAsia="仿宋" w:cs="仿宋"/>
          <w:color w:val="FF0000"/>
          <w:sz w:val="32"/>
          <w:szCs w:val="32"/>
        </w:rPr>
        <w:t>上传竞赛材料</w:t>
      </w:r>
      <w:r>
        <w:rPr>
          <w:rFonts w:hint="eastAsia" w:ascii="仿宋" w:hAnsi="仿宋" w:eastAsia="仿宋" w:cs="仿宋"/>
          <w:sz w:val="32"/>
          <w:szCs w:val="32"/>
        </w:rPr>
        <w:t>【参赛</w:t>
      </w:r>
      <w:r>
        <w:rPr>
          <w:rFonts w:hint="eastAsia" w:ascii="仿宋" w:hAnsi="仿宋" w:eastAsia="仿宋" w:cs="仿宋"/>
          <w:color w:val="FF0000"/>
          <w:sz w:val="32"/>
          <w:szCs w:val="32"/>
        </w:rPr>
        <w:t>承诺书</w:t>
      </w:r>
      <w:r>
        <w:rPr>
          <w:rFonts w:hint="eastAsia" w:ascii="仿宋" w:hAnsi="仿宋" w:eastAsia="仿宋" w:cs="仿宋"/>
          <w:sz w:val="32"/>
          <w:szCs w:val="32"/>
        </w:rPr>
        <w:t>（附件2）、汇报</w:t>
      </w:r>
      <w:r>
        <w:rPr>
          <w:rFonts w:hint="eastAsia" w:ascii="仿宋" w:hAnsi="仿宋" w:eastAsia="仿宋" w:cs="仿宋"/>
          <w:color w:val="FF0000"/>
          <w:sz w:val="32"/>
          <w:szCs w:val="32"/>
        </w:rPr>
        <w:t>PPT</w:t>
      </w:r>
      <w:r>
        <w:rPr>
          <w:rFonts w:hint="eastAsia" w:ascii="仿宋" w:hAnsi="仿宋" w:eastAsia="仿宋" w:cs="仿宋"/>
          <w:sz w:val="32"/>
          <w:szCs w:val="32"/>
        </w:rPr>
        <w:t>、1-2万字的参赛</w:t>
      </w:r>
      <w:r>
        <w:rPr>
          <w:rFonts w:hint="eastAsia" w:ascii="仿宋" w:hAnsi="仿宋" w:eastAsia="仿宋" w:cs="仿宋"/>
          <w:color w:val="FF0000"/>
          <w:sz w:val="32"/>
          <w:szCs w:val="32"/>
        </w:rPr>
        <w:t>报告WORD2013版</w:t>
      </w:r>
      <w:r>
        <w:rPr>
          <w:rFonts w:hint="eastAsia" w:ascii="仿宋" w:hAnsi="仿宋" w:eastAsia="仿宋" w:cs="仿宋"/>
          <w:sz w:val="32"/>
          <w:szCs w:val="32"/>
        </w:rPr>
        <w:t>及</w:t>
      </w:r>
      <w:r>
        <w:rPr>
          <w:rFonts w:hint="eastAsia" w:ascii="仿宋" w:hAnsi="仿宋" w:eastAsia="仿宋" w:cs="仿宋"/>
          <w:color w:val="FF0000"/>
          <w:sz w:val="32"/>
          <w:szCs w:val="32"/>
        </w:rPr>
        <w:t>PDF</w:t>
      </w:r>
      <w:r>
        <w:rPr>
          <w:rFonts w:hint="eastAsia" w:ascii="仿宋" w:hAnsi="仿宋" w:eastAsia="仿宋" w:cs="仿宋"/>
          <w:sz w:val="32"/>
          <w:szCs w:val="32"/>
        </w:rPr>
        <w:t>版和不超过2000字的</w:t>
      </w:r>
      <w:r>
        <w:rPr>
          <w:rFonts w:hint="eastAsia" w:ascii="仿宋" w:hAnsi="仿宋" w:eastAsia="仿宋" w:cs="仿宋"/>
          <w:color w:val="FF0000"/>
          <w:sz w:val="32"/>
          <w:szCs w:val="32"/>
        </w:rPr>
        <w:t>摘要</w:t>
      </w:r>
      <w:r>
        <w:rPr>
          <w:rFonts w:hint="eastAsia" w:ascii="仿宋" w:hAnsi="仿宋" w:eastAsia="仿宋" w:cs="仿宋"/>
          <w:sz w:val="32"/>
          <w:szCs w:val="32"/>
        </w:rPr>
        <w:t>】。考虑省赛竞赛系统首次启用，有可能出现</w:t>
      </w:r>
      <w:r>
        <w:rPr>
          <w:rFonts w:hint="eastAsia" w:ascii="仿宋" w:hAnsi="仿宋" w:eastAsia="仿宋" w:cs="仿宋"/>
          <w:color w:val="auto"/>
          <w:sz w:val="32"/>
          <w:szCs w:val="32"/>
        </w:rPr>
        <w:t>操作异常情况，</w:t>
      </w:r>
      <w:r>
        <w:rPr>
          <w:rFonts w:hint="eastAsia" w:ascii="仿宋" w:hAnsi="仿宋" w:eastAsia="仿宋" w:cs="仿宋"/>
          <w:color w:val="auto"/>
          <w:sz w:val="32"/>
          <w:szCs w:val="32"/>
          <w:lang w:val="en-US" w:eastAsia="zh-CN"/>
        </w:rPr>
        <w:t>需</w:t>
      </w:r>
      <w:r>
        <w:rPr>
          <w:rFonts w:hint="eastAsia" w:ascii="仿宋" w:hAnsi="仿宋" w:eastAsia="仿宋" w:cs="仿宋"/>
          <w:color w:val="auto"/>
          <w:sz w:val="32"/>
          <w:szCs w:val="32"/>
        </w:rPr>
        <w:t>网上提交竞赛作品的同时，</w:t>
      </w:r>
      <w:r>
        <w:rPr>
          <w:rFonts w:hint="eastAsia" w:ascii="仿宋" w:hAnsi="仿宋" w:eastAsia="仿宋" w:cs="仿宋"/>
          <w:color w:val="auto"/>
          <w:sz w:val="32"/>
          <w:szCs w:val="32"/>
          <w:lang w:val="en-US" w:eastAsia="zh-CN"/>
        </w:rPr>
        <w:t>同步将参赛材料以</w:t>
      </w:r>
      <w:r>
        <w:rPr>
          <w:rFonts w:hint="eastAsia" w:ascii="仿宋" w:hAnsi="仿宋" w:eastAsia="仿宋" w:cs="仿宋"/>
          <w:color w:val="auto"/>
          <w:sz w:val="32"/>
          <w:szCs w:val="32"/>
        </w:rPr>
        <w:t>邮件方式提交至省赛组委会邮箱:</w:t>
      </w:r>
      <w:r>
        <w:rPr>
          <w:rFonts w:ascii="仿宋" w:hAnsi="仿宋" w:eastAsia="仿宋" w:cs="仿宋"/>
          <w:color w:val="auto"/>
          <w:sz w:val="32"/>
          <w:szCs w:val="32"/>
        </w:rPr>
        <w:t xml:space="preserve"> njxxgcdxsds@163.com</w:t>
      </w:r>
      <w:r>
        <w:rPr>
          <w:rFonts w:hint="eastAsia" w:ascii="仿宋" w:hAnsi="仿宋" w:eastAsia="仿宋" w:cs="仿宋"/>
          <w:color w:val="auto"/>
          <w:sz w:val="32"/>
          <w:szCs w:val="32"/>
        </w:rPr>
        <w:t>。</w:t>
      </w:r>
    </w:p>
    <w:p>
      <w:pPr>
        <w:pStyle w:val="14"/>
        <w:keepNext w:val="0"/>
        <w:keepLines w:val="0"/>
        <w:pageBreakBefore w:val="0"/>
        <w:widowControl w:val="0"/>
        <w:tabs>
          <w:tab w:val="left" w:pos="142"/>
        </w:tabs>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color w:val="FF0000"/>
          <w:sz w:val="32"/>
          <w:szCs w:val="32"/>
        </w:rPr>
      </w:pPr>
      <w:bookmarkStart w:id="0" w:name="_Hlk130240902"/>
      <w:r>
        <w:rPr>
          <w:rFonts w:hint="eastAsia" w:ascii="仿宋" w:hAnsi="仿宋" w:eastAsia="仿宋" w:cs="仿宋"/>
          <w:sz w:val="32"/>
          <w:szCs w:val="32"/>
        </w:rPr>
        <w:t>注</w:t>
      </w:r>
      <w:r>
        <w:rPr>
          <w:rFonts w:ascii="仿宋" w:hAnsi="仿宋" w:eastAsia="仿宋" w:cs="仿宋"/>
          <w:sz w:val="32"/>
          <w:szCs w:val="32"/>
        </w:rPr>
        <w:t>1</w:t>
      </w:r>
      <w:r>
        <w:rPr>
          <w:rFonts w:hint="eastAsia" w:ascii="仿宋" w:hAnsi="仿宋" w:eastAsia="仿宋" w:cs="仿宋"/>
          <w:sz w:val="32"/>
          <w:szCs w:val="32"/>
        </w:rPr>
        <w:t>：线上提交作品，操作步骤见省赛线上提交竞赛作品操作指南（附件3）。</w:t>
      </w:r>
    </w:p>
    <w:p>
      <w:pPr>
        <w:pStyle w:val="14"/>
        <w:keepNext w:val="0"/>
        <w:keepLines w:val="0"/>
        <w:pageBreakBefore w:val="0"/>
        <w:widowControl w:val="0"/>
        <w:tabs>
          <w:tab w:val="left" w:pos="142"/>
        </w:tabs>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注</w:t>
      </w:r>
      <w:r>
        <w:rPr>
          <w:rFonts w:ascii="仿宋" w:hAnsi="仿宋" w:eastAsia="仿宋" w:cs="仿宋"/>
          <w:sz w:val="32"/>
          <w:szCs w:val="32"/>
        </w:rPr>
        <w:t>2</w:t>
      </w:r>
      <w:r>
        <w:rPr>
          <w:rFonts w:hint="eastAsia" w:ascii="仿宋" w:hAnsi="仿宋" w:eastAsia="仿宋" w:cs="仿宋"/>
          <w:sz w:val="32"/>
          <w:szCs w:val="32"/>
        </w:rPr>
        <w:t>：</w:t>
      </w:r>
      <w:r>
        <w:rPr>
          <w:rFonts w:hint="eastAsia" w:ascii="仿宋" w:hAnsi="仿宋" w:eastAsia="仿宋" w:cs="仿宋"/>
          <w:sz w:val="32"/>
          <w:szCs w:val="32"/>
          <w:lang w:val="en-US" w:eastAsia="zh-CN"/>
        </w:rPr>
        <w:t>发送</w:t>
      </w:r>
      <w:r>
        <w:rPr>
          <w:rFonts w:hint="eastAsia" w:ascii="仿宋" w:hAnsi="仿宋" w:eastAsia="仿宋" w:cs="仿宋"/>
          <w:sz w:val="32"/>
          <w:szCs w:val="32"/>
        </w:rPr>
        <w:t>邮件参赛</w:t>
      </w:r>
      <w:r>
        <w:rPr>
          <w:rFonts w:hint="eastAsia" w:ascii="仿宋" w:hAnsi="仿宋" w:eastAsia="仿宋" w:cs="仿宋"/>
          <w:sz w:val="32"/>
          <w:szCs w:val="32"/>
          <w:lang w:val="en-US" w:eastAsia="zh-CN"/>
        </w:rPr>
        <w:t>材料</w:t>
      </w:r>
      <w:r>
        <w:rPr>
          <w:rFonts w:hint="eastAsia" w:ascii="仿宋" w:hAnsi="仿宋" w:eastAsia="仿宋" w:cs="仿宋"/>
          <w:sz w:val="32"/>
          <w:szCs w:val="32"/>
        </w:rPr>
        <w:t>，请于4月</w:t>
      </w:r>
      <w:r>
        <w:rPr>
          <w:rFonts w:hint="eastAsia" w:ascii="仿宋" w:hAnsi="仿宋" w:eastAsia="仿宋" w:cs="仿宋"/>
          <w:sz w:val="32"/>
          <w:szCs w:val="32"/>
          <w:lang w:val="en-US" w:eastAsia="zh-CN"/>
        </w:rPr>
        <w:t>5</w:t>
      </w:r>
      <w:r>
        <w:rPr>
          <w:rFonts w:hint="eastAsia" w:ascii="仿宋" w:hAnsi="仿宋" w:eastAsia="仿宋" w:cs="仿宋"/>
          <w:sz w:val="32"/>
          <w:szCs w:val="32"/>
        </w:rPr>
        <w:t>日1</w:t>
      </w:r>
      <w:r>
        <w:rPr>
          <w:rFonts w:ascii="仿宋" w:hAnsi="仿宋" w:eastAsia="仿宋" w:cs="仿宋"/>
          <w:sz w:val="32"/>
          <w:szCs w:val="32"/>
        </w:rPr>
        <w:t>2</w:t>
      </w:r>
      <w:r>
        <w:rPr>
          <w:rFonts w:hint="eastAsia" w:ascii="仿宋" w:hAnsi="仿宋" w:eastAsia="仿宋" w:cs="仿宋"/>
          <w:sz w:val="32"/>
          <w:szCs w:val="32"/>
        </w:rPr>
        <w:t>：00前，将各团队的</w:t>
      </w:r>
      <w:r>
        <w:rPr>
          <w:rFonts w:hint="eastAsia" w:ascii="仿宋" w:hAnsi="仿宋" w:eastAsia="仿宋" w:cs="仿宋"/>
          <w:color w:val="FF0000"/>
          <w:sz w:val="32"/>
          <w:szCs w:val="32"/>
        </w:rPr>
        <w:t>团队信息表</w:t>
      </w:r>
      <w:r>
        <w:rPr>
          <w:rFonts w:hint="eastAsia" w:ascii="仿宋" w:hAnsi="仿宋" w:eastAsia="仿宋" w:cs="仿宋"/>
          <w:sz w:val="32"/>
          <w:szCs w:val="32"/>
        </w:rPr>
        <w:t>（附件4）及上述要求的所有竞赛材料</w:t>
      </w:r>
      <w:r>
        <w:rPr>
          <w:rFonts w:hint="eastAsia" w:ascii="仿宋" w:hAnsi="仿宋" w:eastAsia="仿宋" w:cs="仿宋"/>
          <w:color w:val="000000" w:themeColor="text1"/>
          <w:sz w:val="32"/>
          <w:szCs w:val="32"/>
          <w14:textFill>
            <w14:solidFill>
              <w14:schemeClr w14:val="tx1"/>
            </w14:solidFill>
          </w14:textFill>
        </w:rPr>
        <w:t>放在一个文件夹中，</w:t>
      </w:r>
      <w:r>
        <w:rPr>
          <w:rFonts w:hint="eastAsia" w:ascii="仿宋" w:hAnsi="仿宋" w:eastAsia="仿宋" w:cs="仿宋"/>
          <w:color w:val="000000" w:themeColor="text1"/>
          <w:sz w:val="32"/>
          <w:szCs w:val="32"/>
          <w:lang w:val="en-US" w:eastAsia="zh-CN"/>
          <w14:textFill>
            <w14:solidFill>
              <w14:schemeClr w14:val="tx1"/>
            </w14:solidFill>
          </w14:textFill>
        </w:rPr>
        <w:t>以学校为单位</w:t>
      </w:r>
      <w:r>
        <w:rPr>
          <w:rFonts w:hint="eastAsia" w:ascii="仿宋" w:hAnsi="仿宋" w:eastAsia="仿宋" w:cs="仿宋"/>
          <w:color w:val="000000" w:themeColor="text1"/>
          <w:sz w:val="32"/>
          <w:szCs w:val="32"/>
          <w14:textFill>
            <w14:solidFill>
              <w14:schemeClr w14:val="tx1"/>
            </w14:solidFill>
          </w14:textFill>
        </w:rPr>
        <w:t>压缩后发送至省赛组委会邮箱。具体文件夹及作品命名要求见下表：</w:t>
      </w:r>
    </w:p>
    <w:tbl>
      <w:tblPr>
        <w:tblStyle w:val="9"/>
        <w:tblW w:w="8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029"/>
        <w:gridCol w:w="3937"/>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94" w:type="dxa"/>
            <w:vAlign w:val="center"/>
          </w:tcPr>
          <w:p>
            <w:pPr>
              <w:pStyle w:val="14"/>
              <w:tabs>
                <w:tab w:val="left" w:pos="142"/>
              </w:tabs>
              <w:spacing w:line="360" w:lineRule="exact"/>
              <w:ind w:firstLine="0" w:firstLineChars="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标题</w:t>
            </w:r>
          </w:p>
        </w:tc>
        <w:tc>
          <w:tcPr>
            <w:tcW w:w="1031" w:type="dxa"/>
            <w:vAlign w:val="center"/>
          </w:tcPr>
          <w:p>
            <w:pPr>
              <w:pStyle w:val="14"/>
              <w:tabs>
                <w:tab w:val="left" w:pos="142"/>
              </w:tabs>
              <w:spacing w:line="360" w:lineRule="exact"/>
              <w:ind w:firstLine="0" w:firstLineChars="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类型</w:t>
            </w:r>
          </w:p>
        </w:tc>
        <w:tc>
          <w:tcPr>
            <w:tcW w:w="3947" w:type="dxa"/>
            <w:vAlign w:val="center"/>
          </w:tcPr>
          <w:p>
            <w:pPr>
              <w:pStyle w:val="14"/>
              <w:tabs>
                <w:tab w:val="left" w:pos="142"/>
              </w:tabs>
              <w:spacing w:line="360" w:lineRule="exact"/>
              <w:ind w:firstLine="0" w:firstLineChars="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命名方式</w:t>
            </w:r>
          </w:p>
        </w:tc>
        <w:tc>
          <w:tcPr>
            <w:tcW w:w="2391" w:type="dxa"/>
            <w:vAlign w:val="center"/>
          </w:tcPr>
          <w:p>
            <w:pPr>
              <w:pStyle w:val="14"/>
              <w:tabs>
                <w:tab w:val="left" w:pos="142"/>
              </w:tabs>
              <w:spacing w:line="360" w:lineRule="exact"/>
              <w:ind w:firstLine="0" w:firstLineChars="0"/>
              <w:jc w:val="center"/>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294"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一级标题</w:t>
            </w:r>
          </w:p>
        </w:tc>
        <w:tc>
          <w:tcPr>
            <w:tcW w:w="1031"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文件夹</w:t>
            </w:r>
          </w:p>
        </w:tc>
        <w:tc>
          <w:tcPr>
            <w:tcW w:w="3947"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学校名称</w:t>
            </w:r>
          </w:p>
        </w:tc>
        <w:tc>
          <w:tcPr>
            <w:tcW w:w="2391"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南京**大学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二级标题</w:t>
            </w:r>
          </w:p>
        </w:tc>
        <w:tc>
          <w:tcPr>
            <w:tcW w:w="1031" w:type="dxa"/>
            <w:vAlign w:val="center"/>
          </w:tcPr>
          <w:p>
            <w:pPr>
              <w:pStyle w:val="14"/>
              <w:tabs>
                <w:tab w:val="left" w:pos="142"/>
              </w:tabs>
              <w:spacing w:line="360" w:lineRule="exact"/>
              <w:ind w:firstLine="0" w:firstLineChars="0"/>
              <w:jc w:val="center"/>
              <w:rPr>
                <w:rFonts w:ascii="仿宋" w:hAnsi="仿宋" w:eastAsia="仿宋" w:cs="仿宋"/>
                <w:sz w:val="24"/>
                <w:szCs w:val="24"/>
              </w:rPr>
            </w:pPr>
            <w:r>
              <w:rPr>
                <w:rFonts w:hint="eastAsia" w:ascii="仿宋" w:hAnsi="仿宋" w:eastAsia="仿宋" w:cs="仿宋"/>
                <w:sz w:val="24"/>
                <w:szCs w:val="24"/>
              </w:rPr>
              <w:t>文件夹</w:t>
            </w:r>
          </w:p>
        </w:tc>
        <w:tc>
          <w:tcPr>
            <w:tcW w:w="3947" w:type="dxa"/>
            <w:vAlign w:val="center"/>
          </w:tcPr>
          <w:p>
            <w:pPr>
              <w:pStyle w:val="14"/>
              <w:tabs>
                <w:tab w:val="left" w:pos="142"/>
              </w:tabs>
              <w:spacing w:line="360" w:lineRule="exact"/>
              <w:ind w:firstLine="0" w:firstLineChars="0"/>
              <w:jc w:val="center"/>
              <w:rPr>
                <w:rFonts w:ascii="仿宋" w:hAnsi="仿宋" w:eastAsia="仿宋" w:cs="仿宋"/>
                <w:sz w:val="24"/>
                <w:szCs w:val="24"/>
              </w:rPr>
            </w:pPr>
            <w:r>
              <w:rPr>
                <w:rFonts w:hint="eastAsia" w:ascii="仿宋" w:hAnsi="仿宋" w:eastAsia="仿宋" w:cs="仿宋"/>
                <w:sz w:val="24"/>
                <w:szCs w:val="24"/>
              </w:rPr>
              <w:t>序号+学校名称+团队名称+作品名称</w:t>
            </w:r>
          </w:p>
        </w:tc>
        <w:tc>
          <w:tcPr>
            <w:tcW w:w="2391"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01-南京**大学-**团队-**市场调查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8" w:hRule="atLeast"/>
        </w:trPr>
        <w:tc>
          <w:tcPr>
            <w:tcW w:w="1294"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三级标题</w:t>
            </w:r>
          </w:p>
        </w:tc>
        <w:tc>
          <w:tcPr>
            <w:tcW w:w="1031" w:type="dxa"/>
            <w:vAlign w:val="center"/>
          </w:tcPr>
          <w:p>
            <w:pPr>
              <w:pStyle w:val="14"/>
              <w:tabs>
                <w:tab w:val="left" w:pos="142"/>
              </w:tabs>
              <w:spacing w:line="36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文  档</w:t>
            </w:r>
          </w:p>
        </w:tc>
        <w:tc>
          <w:tcPr>
            <w:tcW w:w="3947" w:type="dxa"/>
          </w:tcPr>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作品名称-PPT</w:t>
            </w:r>
          </w:p>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作品名称-参赛报告（word）</w:t>
            </w:r>
          </w:p>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作品名称-参赛报告（</w:t>
            </w:r>
            <w:r>
              <w:rPr>
                <w:rFonts w:hint="eastAsia" w:ascii="仿宋" w:hAnsi="仿宋" w:eastAsia="仿宋" w:cs="仿宋"/>
                <w:color w:val="000000" w:themeColor="text1"/>
                <w:sz w:val="24"/>
                <w:szCs w:val="24"/>
                <w:lang w:val="en-US" w:eastAsia="zh-CN"/>
                <w14:textFill>
                  <w14:solidFill>
                    <w14:schemeClr w14:val="tx1"/>
                  </w14:solidFill>
                </w14:textFill>
              </w:rPr>
              <w:t>PDF</w:t>
            </w:r>
            <w:r>
              <w:rPr>
                <w:rFonts w:hint="eastAsia" w:ascii="仿宋" w:hAnsi="仿宋" w:eastAsia="仿宋" w:cs="仿宋"/>
                <w:color w:val="000000" w:themeColor="text1"/>
                <w:sz w:val="24"/>
                <w:szCs w:val="24"/>
                <w14:textFill>
                  <w14:solidFill>
                    <w14:schemeClr w14:val="tx1"/>
                  </w14:solidFill>
                </w14:textFill>
              </w:rPr>
              <w:t>）</w:t>
            </w:r>
          </w:p>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作品名称-参赛承诺书（</w:t>
            </w:r>
            <w:r>
              <w:rPr>
                <w:rFonts w:hint="eastAsia" w:ascii="仿宋" w:hAnsi="仿宋" w:eastAsia="仿宋" w:cs="仿宋"/>
                <w:color w:val="000000" w:themeColor="text1"/>
                <w:sz w:val="24"/>
                <w:szCs w:val="24"/>
                <w:lang w:val="en-US" w:eastAsia="zh-CN"/>
                <w14:textFill>
                  <w14:solidFill>
                    <w14:schemeClr w14:val="tx1"/>
                  </w14:solidFill>
                </w14:textFill>
              </w:rPr>
              <w:t>PDF</w:t>
            </w:r>
            <w:r>
              <w:rPr>
                <w:rFonts w:hint="eastAsia" w:ascii="仿宋" w:hAnsi="仿宋" w:eastAsia="仿宋" w:cs="仿宋"/>
                <w:color w:val="000000" w:themeColor="text1"/>
                <w:sz w:val="24"/>
                <w:szCs w:val="24"/>
                <w14:textFill>
                  <w14:solidFill>
                    <w14:schemeClr w14:val="tx1"/>
                  </w14:solidFill>
                </w14:textFill>
              </w:rPr>
              <w:t>）</w:t>
            </w:r>
          </w:p>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作品名称-团队信息表</w:t>
            </w:r>
          </w:p>
          <w:p>
            <w:pPr>
              <w:pStyle w:val="14"/>
              <w:tabs>
                <w:tab w:val="left" w:pos="142"/>
              </w:tabs>
              <w:spacing w:line="400" w:lineRule="exact"/>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作品名称-摘要</w:t>
            </w:r>
          </w:p>
        </w:tc>
        <w:tc>
          <w:tcPr>
            <w:tcW w:w="2391" w:type="dxa"/>
          </w:tcPr>
          <w:p>
            <w:pPr>
              <w:pStyle w:val="14"/>
              <w:tabs>
                <w:tab w:val="left" w:pos="142"/>
              </w:tabs>
              <w:ind w:firstLine="0" w:firstLineChars="0"/>
              <w:jc w:val="center"/>
              <w:rPr>
                <w:rFonts w:ascii="仿宋" w:hAnsi="仿宋" w:eastAsia="仿宋" w:cs="仿宋"/>
                <w:color w:val="000000" w:themeColor="text1"/>
                <w:sz w:val="24"/>
                <w:szCs w:val="24"/>
                <w14:textFill>
                  <w14:solidFill>
                    <w14:schemeClr w14:val="tx1"/>
                  </w14:solidFill>
                </w14:textFill>
              </w:rPr>
            </w:pPr>
          </w:p>
          <w:p>
            <w:pPr>
              <w:pStyle w:val="14"/>
              <w:tabs>
                <w:tab w:val="left" w:pos="142"/>
              </w:tabs>
              <w:ind w:firstLine="0" w:firstLineChars="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drawing>
                <wp:inline distT="0" distB="0" distL="114300" distR="114300">
                  <wp:extent cx="1372235" cy="1061720"/>
                  <wp:effectExtent l="0" t="0" r="18415" b="508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
                          <a:stretch>
                            <a:fillRect/>
                          </a:stretch>
                        </pic:blipFill>
                        <pic:spPr>
                          <a:xfrm>
                            <a:off x="0" y="0"/>
                            <a:ext cx="1372235" cy="1061720"/>
                          </a:xfrm>
                          <a:prstGeom prst="rect">
                            <a:avLst/>
                          </a:prstGeom>
                        </pic:spPr>
                      </pic:pic>
                    </a:graphicData>
                  </a:graphic>
                </wp:inline>
              </w:drawing>
            </w:r>
          </w:p>
        </w:tc>
      </w:tr>
      <w:bookmarkEnd w:id="0"/>
    </w:tbl>
    <w:p>
      <w:pPr>
        <w:keepNext w:val="0"/>
        <w:keepLines w:val="0"/>
        <w:pageBreakBefore w:val="0"/>
        <w:tabs>
          <w:tab w:val="left" w:pos="0"/>
        </w:tabs>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注</w:t>
      </w:r>
      <w:r>
        <w:rPr>
          <w:rFonts w:ascii="仿宋" w:hAnsi="仿宋" w:eastAsia="仿宋" w:cs="仿宋"/>
          <w:sz w:val="32"/>
          <w:szCs w:val="32"/>
        </w:rPr>
        <w:t>3</w:t>
      </w:r>
      <w:r>
        <w:rPr>
          <w:rFonts w:hint="eastAsia" w:ascii="仿宋" w:hAnsi="仿宋" w:eastAsia="仿宋" w:cs="仿宋"/>
          <w:sz w:val="32"/>
          <w:szCs w:val="32"/>
        </w:rPr>
        <w:t>：团队提交</w:t>
      </w:r>
      <w:r>
        <w:rPr>
          <w:rFonts w:hint="eastAsia" w:ascii="仿宋" w:hAnsi="仿宋" w:eastAsia="仿宋" w:cs="仿宋"/>
          <w:sz w:val="32"/>
          <w:szCs w:val="32"/>
          <w:lang w:eastAsia="zh-CN"/>
        </w:rPr>
        <w:t>的</w:t>
      </w:r>
      <w:r>
        <w:rPr>
          <w:rFonts w:hint="eastAsia" w:ascii="仿宋" w:hAnsi="仿宋" w:eastAsia="仿宋" w:cs="仿宋"/>
          <w:color w:val="FF0000"/>
          <w:sz w:val="32"/>
          <w:szCs w:val="32"/>
        </w:rPr>
        <w:t>参赛报告、摘要及PPT中均不得出现参赛</w:t>
      </w:r>
      <w:r>
        <w:rPr>
          <w:rFonts w:hint="eastAsia" w:ascii="仿宋" w:hAnsi="仿宋" w:eastAsia="仿宋" w:cs="仿宋"/>
          <w:color w:val="FF0000"/>
          <w:sz w:val="32"/>
          <w:szCs w:val="32"/>
          <w:lang w:val="en-US" w:eastAsia="zh-CN"/>
        </w:rPr>
        <w:t>院</w:t>
      </w:r>
      <w:r>
        <w:rPr>
          <w:rFonts w:hint="eastAsia" w:ascii="仿宋" w:hAnsi="仿宋" w:eastAsia="仿宋" w:cs="仿宋"/>
          <w:color w:val="FF0000"/>
          <w:sz w:val="32"/>
          <w:szCs w:val="32"/>
        </w:rPr>
        <w:t>校信息（学校名称或标识、指导老师姓名）</w:t>
      </w:r>
      <w:r>
        <w:rPr>
          <w:rFonts w:hint="eastAsia" w:ascii="仿宋" w:hAnsi="仿宋" w:eastAsia="仿宋" w:cs="仿宋"/>
          <w:sz w:val="32"/>
          <w:szCs w:val="32"/>
        </w:rPr>
        <w:t>，以免系统提交不成功或评审扣分。</w:t>
      </w:r>
    </w:p>
    <w:p>
      <w:pPr>
        <w:keepNext w:val="0"/>
        <w:keepLines w:val="0"/>
        <w:pageBreakBefore w:val="0"/>
        <w:kinsoku/>
        <w:wordWrap/>
        <w:overflowPunct/>
        <w:topLinePunct w:val="0"/>
        <w:autoSpaceDE/>
        <w:autoSpaceDN/>
        <w:bidi w:val="0"/>
        <w:adjustRightInd/>
        <w:snapToGrid/>
        <w:spacing w:before="156" w:beforeLines="50" w:line="480" w:lineRule="exact"/>
        <w:ind w:firstLine="643" w:firstLineChars="200"/>
        <w:textAlignment w:val="auto"/>
        <w:rPr>
          <w:rFonts w:ascii="仿宋" w:hAnsi="仿宋" w:eastAsia="仿宋" w:cs="仿宋"/>
          <w:sz w:val="32"/>
          <w:szCs w:val="32"/>
        </w:rPr>
      </w:pP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lang w:val="en-US" w:eastAsia="zh-CN"/>
        </w:rPr>
        <w:t>二</w:t>
      </w:r>
      <w:r>
        <w:rPr>
          <w:rFonts w:hint="eastAsia" w:ascii="仿宋" w:hAnsi="仿宋" w:eastAsia="仿宋" w:cs="仿宋"/>
          <w:b/>
          <w:bCs/>
          <w:color w:val="FF0000"/>
          <w:sz w:val="32"/>
          <w:szCs w:val="32"/>
          <w:lang w:eastAsia="zh-CN"/>
        </w:rPr>
        <w:t>）</w:t>
      </w:r>
      <w:r>
        <w:rPr>
          <w:rFonts w:hint="eastAsia" w:ascii="仿宋" w:hAnsi="仿宋" w:eastAsia="仿宋" w:cs="仿宋"/>
          <w:b/>
          <w:bCs/>
          <w:color w:val="FF0000"/>
          <w:sz w:val="32"/>
          <w:szCs w:val="32"/>
        </w:rPr>
        <w:t>线下团队答辩：</w:t>
      </w:r>
      <w:r>
        <w:rPr>
          <w:rFonts w:hint="eastAsia" w:ascii="仿宋" w:hAnsi="仿宋" w:eastAsia="仿宋" w:cs="仿宋"/>
          <w:sz w:val="32"/>
          <w:szCs w:val="32"/>
        </w:rPr>
        <w:t>选拔优秀团队参加国赛答辩。拟于4月</w:t>
      </w:r>
      <w:r>
        <w:rPr>
          <w:rFonts w:ascii="仿宋" w:hAnsi="仿宋" w:eastAsia="仿宋" w:cs="仿宋"/>
          <w:sz w:val="32"/>
          <w:szCs w:val="32"/>
        </w:rPr>
        <w:t>21</w:t>
      </w:r>
      <w:r>
        <w:rPr>
          <w:rFonts w:hint="eastAsia" w:ascii="仿宋" w:hAnsi="仿宋" w:eastAsia="仿宋" w:cs="仿宋"/>
          <w:sz w:val="32"/>
          <w:szCs w:val="32"/>
        </w:rPr>
        <w:t>日-</w:t>
      </w:r>
      <w:r>
        <w:rPr>
          <w:rFonts w:ascii="仿宋" w:hAnsi="仿宋" w:eastAsia="仿宋" w:cs="仿宋"/>
          <w:sz w:val="32"/>
          <w:szCs w:val="32"/>
        </w:rPr>
        <w:t>22</w:t>
      </w:r>
      <w:r>
        <w:rPr>
          <w:rFonts w:hint="eastAsia" w:ascii="仿宋" w:hAnsi="仿宋" w:eastAsia="仿宋" w:cs="仿宋"/>
          <w:sz w:val="32"/>
          <w:szCs w:val="32"/>
        </w:rPr>
        <w:t>日在南京信息工程大学举行。具体安排是：4月2</w:t>
      </w:r>
      <w:r>
        <w:rPr>
          <w:rFonts w:ascii="仿宋" w:hAnsi="仿宋" w:eastAsia="仿宋" w:cs="仿宋"/>
          <w:sz w:val="32"/>
          <w:szCs w:val="32"/>
        </w:rPr>
        <w:t>1</w:t>
      </w:r>
      <w:r>
        <w:rPr>
          <w:rFonts w:hint="eastAsia" w:ascii="仿宋" w:hAnsi="仿宋" w:eastAsia="仿宋" w:cs="仿宋"/>
          <w:sz w:val="32"/>
          <w:szCs w:val="32"/>
        </w:rPr>
        <w:t>日报到（具体报到时间</w:t>
      </w:r>
      <w:r>
        <w:rPr>
          <w:rFonts w:ascii="仿宋" w:hAnsi="仿宋" w:eastAsia="仿宋" w:cs="仿宋"/>
          <w:sz w:val="32"/>
          <w:szCs w:val="32"/>
        </w:rPr>
        <w:t>14</w:t>
      </w:r>
      <w:r>
        <w:rPr>
          <w:rFonts w:hint="eastAsia" w:ascii="仿宋" w:hAnsi="仿宋" w:eastAsia="仿宋" w:cs="仿宋"/>
          <w:sz w:val="32"/>
          <w:szCs w:val="32"/>
        </w:rPr>
        <w:t>：0</w:t>
      </w:r>
      <w:r>
        <w:rPr>
          <w:rFonts w:ascii="仿宋" w:hAnsi="仿宋" w:eastAsia="仿宋" w:cs="仿宋"/>
          <w:sz w:val="32"/>
          <w:szCs w:val="32"/>
        </w:rPr>
        <w:t>0</w:t>
      </w:r>
      <w:r>
        <w:rPr>
          <w:rFonts w:hint="eastAsia" w:ascii="仿宋" w:hAnsi="仿宋" w:eastAsia="仿宋" w:cs="仿宋"/>
          <w:sz w:val="32"/>
          <w:szCs w:val="32"/>
        </w:rPr>
        <w:t>—</w:t>
      </w:r>
      <w:r>
        <w:rPr>
          <w:rFonts w:ascii="仿宋" w:hAnsi="仿宋" w:eastAsia="仿宋" w:cs="仿宋"/>
          <w:sz w:val="32"/>
          <w:szCs w:val="32"/>
        </w:rPr>
        <w:t>20</w:t>
      </w:r>
      <w:r>
        <w:rPr>
          <w:rFonts w:hint="eastAsia" w:ascii="仿宋" w:hAnsi="仿宋" w:eastAsia="仿宋" w:cs="仿宋"/>
          <w:sz w:val="32"/>
          <w:szCs w:val="32"/>
        </w:rPr>
        <w:t>：0</w:t>
      </w:r>
      <w:r>
        <w:rPr>
          <w:rFonts w:ascii="仿宋" w:hAnsi="仿宋" w:eastAsia="仿宋" w:cs="仿宋"/>
          <w:sz w:val="32"/>
          <w:szCs w:val="32"/>
        </w:rPr>
        <w:t>0</w:t>
      </w:r>
      <w:r>
        <w:rPr>
          <w:rFonts w:hint="eastAsia" w:ascii="仿宋" w:hAnsi="仿宋" w:eastAsia="仿宋" w:cs="仿宋"/>
          <w:sz w:val="32"/>
          <w:szCs w:val="32"/>
        </w:rPr>
        <w:t>）及比赛场次抽签。4月</w:t>
      </w:r>
      <w:r>
        <w:rPr>
          <w:rFonts w:ascii="仿宋" w:hAnsi="仿宋" w:eastAsia="仿宋" w:cs="仿宋"/>
          <w:sz w:val="32"/>
          <w:szCs w:val="32"/>
        </w:rPr>
        <w:t>22</w:t>
      </w:r>
      <w:r>
        <w:rPr>
          <w:rFonts w:hint="eastAsia" w:ascii="仿宋" w:hAnsi="仿宋" w:eastAsia="仿宋" w:cs="仿宋"/>
          <w:sz w:val="32"/>
          <w:szCs w:val="32"/>
        </w:rPr>
        <w:t>日开幕式、答辩评审及闭幕式（预计结束时间1</w:t>
      </w:r>
      <w:r>
        <w:rPr>
          <w:rFonts w:ascii="仿宋" w:hAnsi="仿宋" w:eastAsia="仿宋" w:cs="仿宋"/>
          <w:sz w:val="32"/>
          <w:szCs w:val="32"/>
        </w:rPr>
        <w:t>8</w:t>
      </w:r>
      <w:r>
        <w:rPr>
          <w:rFonts w:hint="eastAsia" w:ascii="仿宋" w:hAnsi="仿宋" w:eastAsia="仿宋" w:cs="仿宋"/>
          <w:sz w:val="32"/>
          <w:szCs w:val="32"/>
        </w:rPr>
        <w:t>：0</w:t>
      </w:r>
      <w:r>
        <w:rPr>
          <w:rFonts w:ascii="仿宋" w:hAnsi="仿宋" w:eastAsia="仿宋" w:cs="仿宋"/>
          <w:sz w:val="32"/>
          <w:szCs w:val="32"/>
        </w:rPr>
        <w:t>0</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答辩形式：报告陈述展示10分钟，团队答辩5分钟，结束时间前1分钟，各有一次倒计时提示。</w:t>
      </w:r>
    </w:p>
    <w:p>
      <w:pPr>
        <w:keepNext w:val="0"/>
        <w:keepLines w:val="0"/>
        <w:pageBreakBefore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注</w:t>
      </w:r>
      <w:r>
        <w:rPr>
          <w:rFonts w:ascii="仿宋" w:hAnsi="仿宋" w:eastAsia="仿宋" w:cs="仿宋"/>
          <w:sz w:val="32"/>
          <w:szCs w:val="32"/>
        </w:rPr>
        <w:t>1</w:t>
      </w:r>
      <w:r>
        <w:rPr>
          <w:rFonts w:hint="eastAsia" w:ascii="仿宋" w:hAnsi="仿宋" w:eastAsia="仿宋" w:cs="仿宋"/>
          <w:sz w:val="32"/>
          <w:szCs w:val="32"/>
        </w:rPr>
        <w:t>：《江苏省选拔赛（本科组）线下团队答辩报到指南及参赛须知》将另行通知。</w:t>
      </w:r>
    </w:p>
    <w:p>
      <w:pPr>
        <w:keepNext w:val="0"/>
        <w:keepLines w:val="0"/>
        <w:pageBreakBefore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注2：4月2</w:t>
      </w:r>
      <w:r>
        <w:rPr>
          <w:rFonts w:ascii="仿宋" w:hAnsi="仿宋" w:eastAsia="仿宋" w:cs="仿宋"/>
          <w:sz w:val="32"/>
          <w:szCs w:val="32"/>
        </w:rPr>
        <w:t>1</w:t>
      </w:r>
      <w:r>
        <w:rPr>
          <w:rFonts w:hint="eastAsia" w:ascii="仿宋" w:hAnsi="仿宋" w:eastAsia="仿宋" w:cs="仿宋"/>
          <w:sz w:val="32"/>
          <w:szCs w:val="32"/>
        </w:rPr>
        <w:t>日报</w:t>
      </w:r>
      <w:r>
        <w:rPr>
          <w:rFonts w:hint="eastAsia" w:ascii="仿宋" w:hAnsi="仿宋" w:eastAsia="仿宋" w:cs="仿宋"/>
          <w:sz w:val="32"/>
          <w:szCs w:val="32"/>
          <w:lang w:val="en-US" w:eastAsia="zh-CN"/>
        </w:rPr>
        <w:t>到</w:t>
      </w:r>
      <w:r>
        <w:rPr>
          <w:rFonts w:hint="eastAsia" w:ascii="仿宋" w:hAnsi="仿宋" w:eastAsia="仿宋" w:cs="仿宋"/>
          <w:sz w:val="32"/>
          <w:szCs w:val="32"/>
        </w:rPr>
        <w:t>现场为最后一次提交更新参赛材料（参赛报告、PPT）的截止时间，4月2</w:t>
      </w:r>
      <w:r>
        <w:rPr>
          <w:rFonts w:ascii="仿宋" w:hAnsi="仿宋" w:eastAsia="仿宋" w:cs="仿宋"/>
          <w:sz w:val="32"/>
          <w:szCs w:val="32"/>
        </w:rPr>
        <w:t>2</w:t>
      </w:r>
      <w:r>
        <w:rPr>
          <w:rFonts w:hint="eastAsia" w:ascii="仿宋" w:hAnsi="仿宋" w:eastAsia="仿宋" w:cs="仿宋"/>
          <w:sz w:val="32"/>
          <w:szCs w:val="32"/>
        </w:rPr>
        <w:t>日答辩当天不允许现场拷贝或更新参赛材料。</w:t>
      </w:r>
    </w:p>
    <w:p>
      <w:pPr>
        <w:keepNext w:val="0"/>
        <w:keepLines w:val="0"/>
        <w:pageBreakBefore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b/>
          <w:color w:val="FF0000"/>
          <w:sz w:val="32"/>
          <w:szCs w:val="32"/>
        </w:rPr>
      </w:pPr>
      <w:r>
        <w:rPr>
          <w:rFonts w:hint="eastAsia" w:ascii="仿宋" w:hAnsi="仿宋" w:eastAsia="仿宋" w:cs="仿宋"/>
          <w:sz w:val="32"/>
          <w:szCs w:val="32"/>
        </w:rPr>
        <w:t>注3：报告和PPT中不能出现</w:t>
      </w:r>
      <w:r>
        <w:rPr>
          <w:rFonts w:hint="eastAsia" w:ascii="仿宋" w:hAnsi="仿宋" w:eastAsia="仿宋" w:cs="仿宋"/>
          <w:color w:val="000000" w:themeColor="text1"/>
          <w:sz w:val="32"/>
          <w:szCs w:val="32"/>
          <w14:textFill>
            <w14:solidFill>
              <w14:schemeClr w14:val="tx1"/>
            </w14:solidFill>
          </w14:textFill>
        </w:rPr>
        <w:t>学校名称或标识、指导老师姓名</w:t>
      </w:r>
      <w:r>
        <w:rPr>
          <w:rFonts w:hint="eastAsia" w:ascii="仿宋" w:hAnsi="仿宋" w:eastAsia="仿宋" w:cs="仿宋"/>
          <w:sz w:val="32"/>
          <w:szCs w:val="32"/>
        </w:rPr>
        <w:t>，比赛开始向评委报告“我们是***团队，我们的作品是《***》，不能报告我们是来自于哪所学校。</w:t>
      </w:r>
      <w:r>
        <w:rPr>
          <w:rFonts w:hint="eastAsia" w:ascii="仿宋" w:hAnsi="仿宋" w:eastAsia="仿宋" w:cs="仿宋"/>
          <w:b/>
          <w:color w:val="FF0000"/>
          <w:sz w:val="32"/>
          <w:szCs w:val="32"/>
        </w:rPr>
        <w:t>切记不要违规！</w:t>
      </w:r>
    </w:p>
    <w:p>
      <w:pPr>
        <w:keepNext w:val="0"/>
        <w:keepLines w:val="0"/>
        <w:pageBreakBefore w:val="0"/>
        <w:kinsoku/>
        <w:wordWrap/>
        <w:overflowPunct/>
        <w:topLinePunct w:val="0"/>
        <w:autoSpaceDE/>
        <w:autoSpaceDN/>
        <w:bidi w:val="0"/>
        <w:adjustRightInd/>
        <w:snapToGrid/>
        <w:spacing w:before="156" w:beforeLines="50" w:line="480" w:lineRule="exact"/>
        <w:ind w:firstLine="643" w:firstLineChars="200"/>
        <w:textAlignment w:val="auto"/>
        <w:rPr>
          <w:rFonts w:ascii="仿宋" w:hAnsi="仿宋" w:eastAsia="仿宋" w:cs="仿宋"/>
          <w:b/>
          <w:sz w:val="32"/>
          <w:szCs w:val="32"/>
        </w:rPr>
      </w:pPr>
      <w:r>
        <w:rPr>
          <w:rFonts w:hint="eastAsia" w:ascii="仿宋" w:hAnsi="仿宋" w:eastAsia="仿宋" w:cs="仿宋"/>
          <w:b/>
          <w:sz w:val="32"/>
          <w:szCs w:val="32"/>
        </w:rPr>
        <w:t>二、参赛对象</w:t>
      </w:r>
    </w:p>
    <w:p>
      <w:pPr>
        <w:keepNext w:val="0"/>
        <w:keepLines w:val="0"/>
        <w:pageBreakBefore w:val="0"/>
        <w:kinsoku/>
        <w:wordWrap/>
        <w:overflowPunct/>
        <w:topLinePunct w:val="0"/>
        <w:autoSpaceDE/>
        <w:autoSpaceDN/>
        <w:bidi w:val="0"/>
        <w:adjustRightInd/>
        <w:snapToGrid/>
        <w:spacing w:before="156" w:beforeLines="50" w:line="48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江苏省内所有参加市场调查与分析大赛知识赛网考通过的</w:t>
      </w:r>
      <w:r>
        <w:rPr>
          <w:rFonts w:hint="eastAsia" w:ascii="仿宋" w:hAnsi="仿宋" w:eastAsia="仿宋" w:cs="仿宋"/>
          <w:b/>
          <w:color w:val="FF0000"/>
          <w:sz w:val="32"/>
          <w:szCs w:val="32"/>
        </w:rPr>
        <w:t>本科组</w:t>
      </w:r>
      <w:r>
        <w:rPr>
          <w:rFonts w:hint="eastAsia" w:ascii="仿宋" w:hAnsi="仿宋" w:eastAsia="仿宋" w:cs="仿宋"/>
          <w:sz w:val="32"/>
          <w:szCs w:val="32"/>
        </w:rPr>
        <w:t>参赛选手都可自愿组成团队（每个团队由3—5名选手组成）参加校赛，校赛优秀团队参加省赛。参赛选手不可以交叉组队，辅导教师可以辅导多支参赛队。</w:t>
      </w:r>
    </w:p>
    <w:p>
      <w:pPr>
        <w:keepNext w:val="0"/>
        <w:keepLines w:val="0"/>
        <w:pageBreakBefore w:val="0"/>
        <w:kinsoku/>
        <w:wordWrap/>
        <w:overflowPunct/>
        <w:topLinePunct w:val="0"/>
        <w:autoSpaceDE/>
        <w:autoSpaceDN/>
        <w:bidi w:val="0"/>
        <w:adjustRightInd/>
        <w:snapToGrid/>
        <w:spacing w:before="156" w:beforeLines="50" w:line="480" w:lineRule="exact"/>
        <w:ind w:firstLine="643" w:firstLineChars="200"/>
        <w:textAlignment w:val="auto"/>
        <w:rPr>
          <w:rFonts w:ascii="仿宋" w:hAnsi="仿宋" w:eastAsia="仿宋" w:cs="仿宋"/>
          <w:sz w:val="32"/>
          <w:szCs w:val="32"/>
        </w:rPr>
      </w:pPr>
      <w:r>
        <w:rPr>
          <w:rFonts w:hint="eastAsia" w:ascii="仿宋" w:hAnsi="仿宋" w:eastAsia="仿宋" w:cs="仿宋"/>
          <w:b/>
          <w:color w:val="FF0000"/>
          <w:sz w:val="32"/>
          <w:szCs w:val="32"/>
        </w:rPr>
        <w:t>省赛团队数</w:t>
      </w:r>
      <w:r>
        <w:rPr>
          <w:rFonts w:hint="eastAsia" w:ascii="仿宋" w:hAnsi="仿宋" w:eastAsia="仿宋" w:cs="仿宋"/>
          <w:sz w:val="32"/>
          <w:szCs w:val="32"/>
        </w:rPr>
        <w:t>：各校推荐参加省赛队数按网考通过人数计算，通过人数未超过300人的，按照“网考通过人数除以20（四舍五入）”计算省赛队数，每个参赛校最多不超过15支团队；通过人数超过300人的，按照“（网考通过人数-300）/30+15（四舍五入）”计算省赛队数，省赛承办校可另外增加2支直接晋级队，每个参赛校最多不超过30支团队（不含赛区实训企业命题晋级省赛团队）。各校推荐参加省赛的团队数量见“各校参加第十三届全国大学生市场调查与分析大赛省赛团队数额分配表”（附件</w:t>
      </w:r>
      <w:r>
        <w:rPr>
          <w:rFonts w:ascii="仿宋" w:hAnsi="仿宋" w:eastAsia="仿宋" w:cs="仿宋"/>
          <w:sz w:val="32"/>
          <w:szCs w:val="32"/>
        </w:rPr>
        <w:t>5</w:t>
      </w:r>
      <w:r>
        <w:rPr>
          <w:rFonts w:hint="eastAsia" w:ascii="仿宋" w:hAnsi="仿宋" w:eastAsia="仿宋" w:cs="仿宋"/>
          <w:sz w:val="32"/>
          <w:szCs w:val="32"/>
        </w:rPr>
        <w:t>）。</w:t>
      </w:r>
    </w:p>
    <w:p>
      <w:pPr>
        <w:pStyle w:val="6"/>
        <w:shd w:val="clear" w:color="auto" w:fill="FFFFFF"/>
        <w:wordWrap w:val="0"/>
        <w:spacing w:before="156" w:beforeLines="50" w:beforeAutospacing="0" w:after="0" w:afterAutospacing="0" w:line="315" w:lineRule="atLeast"/>
        <w:jc w:val="right"/>
        <w:rPr>
          <w:rFonts w:hint="eastAsia" w:ascii="仿宋" w:hAnsi="仿宋" w:eastAsia="仿宋"/>
          <w:sz w:val="32"/>
          <w:szCs w:val="32"/>
        </w:rPr>
      </w:pPr>
      <w:r>
        <w:rPr>
          <w:rFonts w:hint="eastAsia" w:ascii="仿宋" w:hAnsi="仿宋" w:eastAsia="仿宋" w:cs="仿宋"/>
          <w:b/>
          <w:color w:val="FF0000"/>
          <w:sz w:val="32"/>
          <w:szCs w:val="32"/>
        </w:rPr>
        <w:t>国赛团队数：</w:t>
      </w:r>
      <w:r>
        <w:rPr>
          <w:rFonts w:hint="eastAsia" w:ascii="仿宋" w:hAnsi="仿宋" w:eastAsia="仿宋"/>
          <w:sz w:val="32"/>
          <w:szCs w:val="32"/>
        </w:rPr>
        <w:t>本科组全国总决赛拟定200支省赛晋级国赛团队+29个赛区承办校各1支直接晋级团队+总决赛承办校</w:t>
      </w:r>
    </w:p>
    <w:p>
      <w:pPr>
        <w:pStyle w:val="6"/>
        <w:shd w:val="clear" w:color="auto" w:fill="FFFFFF"/>
        <w:wordWrap/>
        <w:spacing w:before="156" w:beforeLines="50" w:beforeAutospacing="0" w:after="0" w:afterAutospacing="0" w:line="315" w:lineRule="atLeast"/>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905375" cy="8751570"/>
            <wp:effectExtent l="0" t="0" r="9525" b="11430"/>
            <wp:docPr id="1" name="图片 1" descr="b8abd26c1d1c854d20d051867279c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8abd26c1d1c854d20d051867279c6f"/>
                    <pic:cNvPicPr>
                      <a:picLocks noChangeAspect="1"/>
                    </pic:cNvPicPr>
                  </pic:nvPicPr>
                  <pic:blipFill>
                    <a:blip r:embed="rId5"/>
                    <a:srcRect l="12767" t="8555" r="13261"/>
                    <a:stretch>
                      <a:fillRect/>
                    </a:stretch>
                  </pic:blipFill>
                  <pic:spPr>
                    <a:xfrm>
                      <a:off x="0" y="0"/>
                      <a:ext cx="4905375" cy="8751570"/>
                    </a:xfrm>
                    <a:prstGeom prst="rect">
                      <a:avLst/>
                    </a:prstGeom>
                  </pic:spPr>
                </pic:pic>
              </a:graphicData>
            </a:graphic>
          </wp:inline>
        </w:drawing>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kNWNiZmU5MjU2NWVlNjBmZDk0YWE5ZjYzNTFiODgifQ=="/>
  </w:docVars>
  <w:rsids>
    <w:rsidRoot w:val="009F1686"/>
    <w:rsid w:val="000115FC"/>
    <w:rsid w:val="000137FC"/>
    <w:rsid w:val="000321E0"/>
    <w:rsid w:val="000351C7"/>
    <w:rsid w:val="00044EED"/>
    <w:rsid w:val="00057265"/>
    <w:rsid w:val="00066BAC"/>
    <w:rsid w:val="00097046"/>
    <w:rsid w:val="000F37E7"/>
    <w:rsid w:val="00106F3A"/>
    <w:rsid w:val="00120302"/>
    <w:rsid w:val="00126FA5"/>
    <w:rsid w:val="001304A5"/>
    <w:rsid w:val="00182074"/>
    <w:rsid w:val="00187D87"/>
    <w:rsid w:val="00191B05"/>
    <w:rsid w:val="001A2B86"/>
    <w:rsid w:val="0021040F"/>
    <w:rsid w:val="002132A6"/>
    <w:rsid w:val="00252FD0"/>
    <w:rsid w:val="00267F7B"/>
    <w:rsid w:val="002A47F3"/>
    <w:rsid w:val="002C172E"/>
    <w:rsid w:val="00314230"/>
    <w:rsid w:val="0031472D"/>
    <w:rsid w:val="003523AA"/>
    <w:rsid w:val="0036681B"/>
    <w:rsid w:val="0037396D"/>
    <w:rsid w:val="00376CFB"/>
    <w:rsid w:val="003A625C"/>
    <w:rsid w:val="003B05E3"/>
    <w:rsid w:val="003B64C8"/>
    <w:rsid w:val="003C1BF5"/>
    <w:rsid w:val="003D3FD1"/>
    <w:rsid w:val="003E0AF9"/>
    <w:rsid w:val="00421049"/>
    <w:rsid w:val="00454F14"/>
    <w:rsid w:val="00473AC2"/>
    <w:rsid w:val="00496B0D"/>
    <w:rsid w:val="004C0280"/>
    <w:rsid w:val="004D13FD"/>
    <w:rsid w:val="004F6207"/>
    <w:rsid w:val="00500706"/>
    <w:rsid w:val="00531956"/>
    <w:rsid w:val="00566BC9"/>
    <w:rsid w:val="00574D3A"/>
    <w:rsid w:val="0059030A"/>
    <w:rsid w:val="005B3400"/>
    <w:rsid w:val="005E2B25"/>
    <w:rsid w:val="005F34A5"/>
    <w:rsid w:val="005F7E77"/>
    <w:rsid w:val="00602127"/>
    <w:rsid w:val="00640DD2"/>
    <w:rsid w:val="00651C33"/>
    <w:rsid w:val="00662A72"/>
    <w:rsid w:val="006C2EA0"/>
    <w:rsid w:val="006E6D49"/>
    <w:rsid w:val="00710FB0"/>
    <w:rsid w:val="00724B92"/>
    <w:rsid w:val="00727162"/>
    <w:rsid w:val="0073203C"/>
    <w:rsid w:val="00740C4C"/>
    <w:rsid w:val="00742715"/>
    <w:rsid w:val="007506EB"/>
    <w:rsid w:val="007877AC"/>
    <w:rsid w:val="00791631"/>
    <w:rsid w:val="007D0C99"/>
    <w:rsid w:val="007E3229"/>
    <w:rsid w:val="007F4917"/>
    <w:rsid w:val="00833966"/>
    <w:rsid w:val="008363A3"/>
    <w:rsid w:val="00845D79"/>
    <w:rsid w:val="00845D90"/>
    <w:rsid w:val="00873CA6"/>
    <w:rsid w:val="008A0B85"/>
    <w:rsid w:val="008A3050"/>
    <w:rsid w:val="008D3386"/>
    <w:rsid w:val="008E590C"/>
    <w:rsid w:val="00943169"/>
    <w:rsid w:val="0096298E"/>
    <w:rsid w:val="00973C33"/>
    <w:rsid w:val="009C0EC2"/>
    <w:rsid w:val="009C4769"/>
    <w:rsid w:val="009D25F2"/>
    <w:rsid w:val="009F015D"/>
    <w:rsid w:val="009F1686"/>
    <w:rsid w:val="00A50578"/>
    <w:rsid w:val="00A64F01"/>
    <w:rsid w:val="00AA0957"/>
    <w:rsid w:val="00AB6845"/>
    <w:rsid w:val="00AC0403"/>
    <w:rsid w:val="00AC7F40"/>
    <w:rsid w:val="00AD6C7E"/>
    <w:rsid w:val="00AF5FCD"/>
    <w:rsid w:val="00B308E7"/>
    <w:rsid w:val="00B43390"/>
    <w:rsid w:val="00B74CC4"/>
    <w:rsid w:val="00B759EE"/>
    <w:rsid w:val="00BA2CA6"/>
    <w:rsid w:val="00BB02CB"/>
    <w:rsid w:val="00C11BD9"/>
    <w:rsid w:val="00C13B5C"/>
    <w:rsid w:val="00C2414C"/>
    <w:rsid w:val="00C24465"/>
    <w:rsid w:val="00C24761"/>
    <w:rsid w:val="00C26E96"/>
    <w:rsid w:val="00C36258"/>
    <w:rsid w:val="00C37214"/>
    <w:rsid w:val="00C566E4"/>
    <w:rsid w:val="00C62A7F"/>
    <w:rsid w:val="00C62EB0"/>
    <w:rsid w:val="00C6551E"/>
    <w:rsid w:val="00CA00E5"/>
    <w:rsid w:val="00CA58B1"/>
    <w:rsid w:val="00D00CA8"/>
    <w:rsid w:val="00D22106"/>
    <w:rsid w:val="00D42FE1"/>
    <w:rsid w:val="00D430A3"/>
    <w:rsid w:val="00D812D5"/>
    <w:rsid w:val="00DA684B"/>
    <w:rsid w:val="00DB1179"/>
    <w:rsid w:val="00E02C36"/>
    <w:rsid w:val="00E15CB6"/>
    <w:rsid w:val="00E33A98"/>
    <w:rsid w:val="00E44AED"/>
    <w:rsid w:val="00E61CA7"/>
    <w:rsid w:val="00E7172C"/>
    <w:rsid w:val="00E81974"/>
    <w:rsid w:val="00E86092"/>
    <w:rsid w:val="00F023B1"/>
    <w:rsid w:val="00F43F3B"/>
    <w:rsid w:val="00F4652F"/>
    <w:rsid w:val="00F7795C"/>
    <w:rsid w:val="00F938D4"/>
    <w:rsid w:val="00FC0EEE"/>
    <w:rsid w:val="00FC34F4"/>
    <w:rsid w:val="02D6008A"/>
    <w:rsid w:val="04912ACD"/>
    <w:rsid w:val="04AC5B58"/>
    <w:rsid w:val="05086382"/>
    <w:rsid w:val="081D1247"/>
    <w:rsid w:val="14EC0408"/>
    <w:rsid w:val="15EB1DC9"/>
    <w:rsid w:val="18410B53"/>
    <w:rsid w:val="1CB63997"/>
    <w:rsid w:val="1F8117F3"/>
    <w:rsid w:val="20511571"/>
    <w:rsid w:val="2096340D"/>
    <w:rsid w:val="20EE6436"/>
    <w:rsid w:val="26E66850"/>
    <w:rsid w:val="27CF05B7"/>
    <w:rsid w:val="280D4C7B"/>
    <w:rsid w:val="2CDA3689"/>
    <w:rsid w:val="33FE2462"/>
    <w:rsid w:val="36182B46"/>
    <w:rsid w:val="376120D5"/>
    <w:rsid w:val="37702EFF"/>
    <w:rsid w:val="38B70757"/>
    <w:rsid w:val="397D5501"/>
    <w:rsid w:val="39E6616C"/>
    <w:rsid w:val="3A885CB7"/>
    <w:rsid w:val="3DA12ED7"/>
    <w:rsid w:val="3F181612"/>
    <w:rsid w:val="42D02437"/>
    <w:rsid w:val="441B4D18"/>
    <w:rsid w:val="46F24FB0"/>
    <w:rsid w:val="472D609C"/>
    <w:rsid w:val="4DE571E4"/>
    <w:rsid w:val="4F952A3E"/>
    <w:rsid w:val="5206365F"/>
    <w:rsid w:val="5979279A"/>
    <w:rsid w:val="5C0B7733"/>
    <w:rsid w:val="5D295006"/>
    <w:rsid w:val="5EAA37BB"/>
    <w:rsid w:val="6033120D"/>
    <w:rsid w:val="60CE059F"/>
    <w:rsid w:val="62A05DCE"/>
    <w:rsid w:val="660171D1"/>
    <w:rsid w:val="6BD67381"/>
    <w:rsid w:val="6D0A7CFC"/>
    <w:rsid w:val="70090C45"/>
    <w:rsid w:val="72477E5E"/>
    <w:rsid w:val="73D00F29"/>
    <w:rsid w:val="75DA7B6D"/>
    <w:rsid w:val="7C842FCD"/>
    <w:rsid w:val="7D9D194C"/>
    <w:rsid w:val="7F8C5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21"/>
    <w:semiHidden/>
    <w:unhideWhenUsed/>
    <w:qFormat/>
    <w:uiPriority w:val="99"/>
    <w:pPr>
      <w:tabs>
        <w:tab w:val="center" w:pos="4153"/>
        <w:tab w:val="right" w:pos="8306"/>
      </w:tabs>
      <w:snapToGrid w:val="0"/>
      <w:jc w:val="left"/>
    </w:pPr>
    <w:rPr>
      <w:sz w:val="18"/>
      <w:szCs w:val="18"/>
    </w:rPr>
  </w:style>
  <w:style w:type="paragraph" w:styleId="5">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p0"/>
    <w:basedOn w:val="1"/>
    <w:qFormat/>
    <w:uiPriority w:val="0"/>
    <w:pPr>
      <w:widowControl/>
    </w:pPr>
    <w:rPr>
      <w:rFonts w:ascii="Times New Roman" w:hAnsi="Times New Roman" w:eastAsia="宋体" w:cs="Times New Roman"/>
      <w:kern w:val="0"/>
      <w:szCs w:val="21"/>
    </w:r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3"/>
    <w:semiHidden/>
    <w:qFormat/>
    <w:uiPriority w:val="99"/>
    <w:rPr>
      <w:sz w:val="18"/>
      <w:szCs w:val="18"/>
    </w:rPr>
  </w:style>
  <w:style w:type="paragraph" w:customStyle="1" w:styleId="19">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页眉 字符"/>
    <w:basedOn w:val="10"/>
    <w:link w:val="5"/>
    <w:semiHidden/>
    <w:qFormat/>
    <w:uiPriority w:val="99"/>
    <w:rPr>
      <w:sz w:val="18"/>
      <w:szCs w:val="18"/>
    </w:rPr>
  </w:style>
  <w:style w:type="character" w:customStyle="1" w:styleId="21">
    <w:name w:val="页脚 字符"/>
    <w:basedOn w:val="10"/>
    <w:link w:val="4"/>
    <w:semiHidden/>
    <w:qFormat/>
    <w:uiPriority w:val="99"/>
    <w:rPr>
      <w:sz w:val="18"/>
      <w:szCs w:val="18"/>
    </w:rPr>
  </w:style>
  <w:style w:type="character" w:customStyle="1" w:styleId="22">
    <w:name w:val="未处理的提及1"/>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OEM</Company>
  <Pages>3</Pages>
  <Words>1577</Words>
  <Characters>1718</Characters>
  <Lines>15</Lines>
  <Paragraphs>4</Paragraphs>
  <TotalTime>0</TotalTime>
  <ScaleCrop>false</ScaleCrop>
  <LinksUpToDate>false</LinksUpToDate>
  <CharactersWithSpaces>1721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2019-03-04T02:13:00Z</dcterms:created>
  <dc:creator>OEM</dc:creator>
  <cp:lastModifiedBy>史恒</cp:lastModifiedBy>
  <cp:lastPrinted>2023-03-24T05:31:00Z</cp:lastPrinted>
  <dcterms:modified xsi:type="dcterms:W3CDTF">2023-03-24T05:37:28Z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B940E7F41BCF40BD8908BFB459503792</vt:lpwstr>
  </property>
</Properties>
</file>